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D760E" w14:textId="72D15736" w:rsidR="003C20C7" w:rsidRDefault="00805361" w:rsidP="003C20C7">
      <w:pP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14:anchorId="72F82A11" wp14:editId="5A30397A">
                <wp:simplePos x="0" y="0"/>
                <wp:positionH relativeFrom="margin">
                  <wp:align>right</wp:align>
                </wp:positionH>
                <wp:positionV relativeFrom="paragraph">
                  <wp:posOffset>-763</wp:posOffset>
                </wp:positionV>
                <wp:extent cx="5593400" cy="514830"/>
                <wp:effectExtent l="0" t="0" r="26670" b="19050"/>
                <wp:wrapNone/>
                <wp:docPr id="792147151" name="Rectángulo 2"/>
                <wp:cNvGraphicFramePr/>
                <a:graphic xmlns:a="http://schemas.openxmlformats.org/drawingml/2006/main">
                  <a:graphicData uri="http://schemas.microsoft.com/office/word/2010/wordprocessingShape">
                    <wps:wsp>
                      <wps:cNvSpPr/>
                      <wps:spPr>
                        <a:xfrm>
                          <a:off x="0" y="0"/>
                          <a:ext cx="5593400" cy="514830"/>
                        </a:xfrm>
                        <a:prstGeom prst="rect">
                          <a:avLst/>
                        </a:prstGeom>
                      </wps:spPr>
                      <wps:style>
                        <a:lnRef idx="2">
                          <a:schemeClr val="accent1"/>
                        </a:lnRef>
                        <a:fillRef idx="1">
                          <a:schemeClr val="lt1"/>
                        </a:fillRef>
                        <a:effectRef idx="0">
                          <a:schemeClr val="accent1"/>
                        </a:effectRef>
                        <a:fontRef idx="minor">
                          <a:schemeClr val="dk1"/>
                        </a:fontRef>
                      </wps:style>
                      <wps:txbx>
                        <w:txbxContent>
                          <w:p w14:paraId="6D4ED736" w14:textId="01F30A49" w:rsidR="00805361" w:rsidRDefault="00805361" w:rsidP="00805361">
                            <w:pPr>
                              <w:jc w:val="center"/>
                            </w:pPr>
                            <w:r w:rsidRPr="00805361">
                              <w:rPr>
                                <w:b/>
                                <w:bCs/>
                                <w:sz w:val="28"/>
                                <w:szCs w:val="28"/>
                              </w:rPr>
                              <w:t>Cifras de atenciones concepcionales en Bogotá 2022, 2023 y en lo corrido de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F82A11" id="Rectángulo 2" o:spid="_x0000_s1026" style="position:absolute;margin-left:389.25pt;margin-top:-.05pt;width:440.45pt;height:40.5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" fillcolor="white [3201]" strokecolor="#5b9bd5 [3204]" strokeweight="1pt">
                <v:textbox>
                  <w:txbxContent>
                    <w:p w14:paraId="6D4ED736" w14:textId="01F30A49" w:rsidR="00805361" w:rsidRDefault="00805361" w:rsidP="00805361">
                      <w:pPr>
                        <w:jc w:val="center"/>
                      </w:pPr>
                      <w:r w:rsidRPr="00805361">
                        <w:rPr>
                          <w:b/>
                          <w:bCs/>
                          <w:sz w:val="28"/>
                          <w:szCs w:val="28"/>
                        </w:rPr>
                        <w:t>Cifras de atenciones concepcionales en Bogotá 2022, 2023 y en lo corrido de 2024</w:t>
                      </w:r>
                    </w:p>
                  </w:txbxContent>
                </v:textbox>
                <w10:wrap anchorx="margin"/>
              </v:rect>
            </w:pict>
          </mc:Fallback>
        </mc:AlternateContent>
      </w:r>
    </w:p>
    <w:p w14:paraId="4F0975EE" w14:textId="1C39DC9E" w:rsidR="00805361" w:rsidRPr="00805361" w:rsidRDefault="00805361" w:rsidP="003C20C7">
      <w:pPr>
        <w:rPr>
          <w:b/>
          <w:bCs/>
          <w:sz w:val="28"/>
          <w:szCs w:val="28"/>
        </w:rPr>
      </w:pPr>
    </w:p>
    <w:p w14:paraId="0580E168" w14:textId="49320CD1" w:rsidR="003C20C7" w:rsidRPr="003C20C7" w:rsidRDefault="003C20C7" w:rsidP="003C20C7">
      <w:pPr>
        <w:jc w:val="both"/>
      </w:pPr>
      <w:r w:rsidRPr="003C20C7">
        <w:t xml:space="preserve">La información </w:t>
      </w:r>
      <w:r>
        <w:t>de los</w:t>
      </w:r>
      <w:r w:rsidRPr="003C20C7">
        <w:t xml:space="preserve"> servicios de salud relacionadas con </w:t>
      </w:r>
      <w:r>
        <w:t>atenciones concepcionales</w:t>
      </w:r>
      <w:r w:rsidRPr="003C20C7">
        <w:t>, se obtiene a partir de la consulta a los Registros Individuales de Prestación de servicios de salud (RIPS)</w:t>
      </w:r>
      <w:r w:rsidRPr="003C20C7">
        <w:rPr>
          <w:vertAlign w:val="superscript"/>
        </w:rPr>
        <w:t>1</w:t>
      </w:r>
      <w:r w:rsidRPr="003C20C7">
        <w:t>, los cuales dependen del reporte periódico y obligatorio de las instituciones encargadas de la prestación de dichos servicios y entidades encargadas de la administración de estos servicios tales como EAPB, entidades territoriales, entre otras; los cuales contienen información básica sobre las personas, las causas de atención y los servicios prestados. </w:t>
      </w:r>
    </w:p>
    <w:p w14:paraId="6D365B53" w14:textId="6030B910" w:rsidR="00465392" w:rsidRDefault="0035430D" w:rsidP="003C20C7">
      <w:pPr>
        <w:jc w:val="both"/>
      </w:pPr>
      <w:r w:rsidRPr="0035430D">
        <w:t>Para dar respuesta a la solicitud, se cuenta con información hasta el 31 de mayo del 2024. Según lo observado en la</w:t>
      </w:r>
      <w:r>
        <w:t xml:space="preserve"> </w:t>
      </w:r>
      <w:r>
        <w:fldChar w:fldCharType="begin"/>
      </w:r>
      <w:r>
        <w:instrText xml:space="preserve"> REF _Ref186099440 \h </w:instrText>
      </w:r>
      <w:r>
        <w:fldChar w:fldCharType="separate"/>
      </w:r>
      <w:r>
        <w:t xml:space="preserve">Tabla </w:t>
      </w:r>
      <w:r>
        <w:rPr>
          <w:noProof/>
        </w:rPr>
        <w:t>1</w:t>
      </w:r>
      <w:r>
        <w:fldChar w:fldCharType="end"/>
      </w:r>
      <w:r>
        <w:t xml:space="preserve"> </w:t>
      </w:r>
      <w:r w:rsidRPr="0035430D">
        <w:t>se registran un total de 2.111.555 atenciones a 286.256 mujeres. Cabe destacar que el 45% de las atenciones fueron realizadas en</w:t>
      </w:r>
      <w:r>
        <w:t xml:space="preserve"> el año 2022.</w:t>
      </w:r>
    </w:p>
    <w:p w14:paraId="77F65CC8" w14:textId="412621A3" w:rsidR="003C20C7" w:rsidRDefault="0035430D" w:rsidP="0035430D">
      <w:pPr>
        <w:pStyle w:val="Descripcin"/>
        <w:jc w:val="center"/>
        <w:rPr>
          <w:b/>
          <w:bCs/>
        </w:rPr>
      </w:pPr>
      <w:bookmarkStart w:id="0" w:name="_Ref186099440"/>
      <w:r>
        <w:t xml:space="preserve">Tabla </w:t>
      </w:r>
      <w:r>
        <w:fldChar w:fldCharType="begin"/>
      </w:r>
      <w:r>
        <w:instrText xml:space="preserve"> SEQ Tabla \* ARABIC </w:instrText>
      </w:r>
      <w:r>
        <w:fldChar w:fldCharType="separate"/>
      </w:r>
      <w:r w:rsidR="00C8550E">
        <w:rPr>
          <w:noProof/>
        </w:rPr>
        <w:t>1</w:t>
      </w:r>
      <w:r>
        <w:fldChar w:fldCharType="end"/>
      </w:r>
      <w:bookmarkEnd w:id="0"/>
      <w:r>
        <w:t xml:space="preserve"> </w:t>
      </w:r>
      <w:r w:rsidR="003C20C7" w:rsidRPr="003C20C7">
        <w:rPr>
          <w:b/>
          <w:bCs/>
        </w:rPr>
        <w:t xml:space="preserve">Número de </w:t>
      </w:r>
      <w:r w:rsidR="003C20C7">
        <w:rPr>
          <w:b/>
          <w:bCs/>
        </w:rPr>
        <w:t xml:space="preserve">atenciones </w:t>
      </w:r>
      <w:r>
        <w:rPr>
          <w:b/>
          <w:bCs/>
        </w:rPr>
        <w:t>concepcionales</w:t>
      </w:r>
      <w:r w:rsidR="003C20C7" w:rsidRPr="003C20C7">
        <w:rPr>
          <w:b/>
          <w:bCs/>
        </w:rPr>
        <w:t>, Bogotá 202</w:t>
      </w:r>
      <w:r>
        <w:rPr>
          <w:b/>
          <w:bCs/>
        </w:rPr>
        <w:t>2</w:t>
      </w:r>
      <w:r w:rsidR="003C20C7" w:rsidRPr="003C20C7">
        <w:rPr>
          <w:b/>
          <w:bCs/>
        </w:rPr>
        <w:t xml:space="preserve"> a </w:t>
      </w:r>
      <w:r>
        <w:rPr>
          <w:b/>
          <w:bCs/>
        </w:rPr>
        <w:t>2024</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560"/>
        <w:gridCol w:w="1417"/>
      </w:tblGrid>
      <w:tr w:rsidR="0035430D" w:rsidRPr="0035430D" w14:paraId="715FDD17" w14:textId="77777777" w:rsidTr="0035430D">
        <w:trPr>
          <w:trHeight w:val="300"/>
          <w:jc w:val="center"/>
        </w:trPr>
        <w:tc>
          <w:tcPr>
            <w:tcW w:w="1696" w:type="dxa"/>
            <w:shd w:val="clear" w:color="auto" w:fill="D0CECE" w:themeFill="background2" w:themeFillShade="E6"/>
            <w:noWrap/>
            <w:vAlign w:val="bottom"/>
            <w:hideMark/>
          </w:tcPr>
          <w:p w14:paraId="7297AA53" w14:textId="5C6FF39E" w:rsidR="0035430D" w:rsidRPr="0035430D" w:rsidRDefault="0035430D" w:rsidP="0035430D">
            <w:pPr>
              <w:spacing w:after="0" w:line="240" w:lineRule="auto"/>
              <w:rPr>
                <w:rFonts w:ascii="Aptos Narrow" w:eastAsia="Times New Roman" w:hAnsi="Aptos Narrow" w:cs="Times New Roman"/>
                <w:b/>
                <w:bCs/>
                <w:color w:val="000000"/>
                <w:kern w:val="0"/>
                <w:lang w:eastAsia="es-CO"/>
                <w14:ligatures w14:val="none"/>
              </w:rPr>
            </w:pPr>
            <w:r>
              <w:rPr>
                <w:rFonts w:ascii="Aptos Narrow" w:eastAsia="Times New Roman" w:hAnsi="Aptos Narrow" w:cs="Times New Roman"/>
                <w:b/>
                <w:bCs/>
                <w:color w:val="000000"/>
                <w:kern w:val="0"/>
                <w:lang w:eastAsia="es-CO"/>
                <w14:ligatures w14:val="none"/>
              </w:rPr>
              <w:t>Años</w:t>
            </w:r>
          </w:p>
        </w:tc>
        <w:tc>
          <w:tcPr>
            <w:tcW w:w="1560" w:type="dxa"/>
            <w:shd w:val="clear" w:color="auto" w:fill="D0CECE" w:themeFill="background2" w:themeFillShade="E6"/>
            <w:noWrap/>
            <w:vAlign w:val="bottom"/>
            <w:hideMark/>
          </w:tcPr>
          <w:p w14:paraId="3F6E24B8" w14:textId="00885D18" w:rsidR="0035430D" w:rsidRPr="0035430D" w:rsidRDefault="0035430D" w:rsidP="0035430D">
            <w:pPr>
              <w:spacing w:after="0" w:line="240" w:lineRule="auto"/>
              <w:rPr>
                <w:rFonts w:ascii="Aptos Narrow" w:eastAsia="Times New Roman" w:hAnsi="Aptos Narrow" w:cs="Times New Roman"/>
                <w:b/>
                <w:bCs/>
                <w:color w:val="000000"/>
                <w:kern w:val="0"/>
                <w:lang w:eastAsia="es-CO"/>
                <w14:ligatures w14:val="none"/>
              </w:rPr>
            </w:pPr>
            <w:r w:rsidRPr="0035430D">
              <w:rPr>
                <w:rFonts w:ascii="Aptos Narrow" w:eastAsia="Times New Roman" w:hAnsi="Aptos Narrow" w:cs="Times New Roman"/>
                <w:b/>
                <w:bCs/>
                <w:color w:val="000000"/>
                <w:kern w:val="0"/>
                <w:lang w:eastAsia="es-CO"/>
                <w14:ligatures w14:val="none"/>
              </w:rPr>
              <w:t>Individuos</w:t>
            </w:r>
            <w:r w:rsidR="00724AB2">
              <w:rPr>
                <w:rFonts w:ascii="Aptos Narrow" w:eastAsia="Times New Roman" w:hAnsi="Aptos Narrow" w:cs="Times New Roman"/>
                <w:b/>
                <w:bCs/>
                <w:color w:val="000000"/>
                <w:kern w:val="0"/>
                <w:lang w:eastAsia="es-CO"/>
                <w14:ligatures w14:val="none"/>
              </w:rPr>
              <w:t xml:space="preserve"> *</w:t>
            </w:r>
          </w:p>
        </w:tc>
        <w:tc>
          <w:tcPr>
            <w:tcW w:w="1417" w:type="dxa"/>
            <w:shd w:val="clear" w:color="auto" w:fill="D0CECE" w:themeFill="background2" w:themeFillShade="E6"/>
            <w:noWrap/>
            <w:vAlign w:val="bottom"/>
            <w:hideMark/>
          </w:tcPr>
          <w:p w14:paraId="7F837657" w14:textId="25A4CB8B" w:rsidR="0035430D" w:rsidRPr="0035430D" w:rsidRDefault="0035430D" w:rsidP="0035430D">
            <w:pPr>
              <w:spacing w:after="0" w:line="240" w:lineRule="auto"/>
              <w:rPr>
                <w:rFonts w:ascii="Aptos Narrow" w:eastAsia="Times New Roman" w:hAnsi="Aptos Narrow" w:cs="Times New Roman"/>
                <w:b/>
                <w:bCs/>
                <w:color w:val="000000"/>
                <w:kern w:val="0"/>
                <w:lang w:eastAsia="es-CO"/>
                <w14:ligatures w14:val="none"/>
              </w:rPr>
            </w:pPr>
            <w:r w:rsidRPr="0035430D">
              <w:rPr>
                <w:rFonts w:ascii="Aptos Narrow" w:eastAsia="Times New Roman" w:hAnsi="Aptos Narrow" w:cs="Times New Roman"/>
                <w:b/>
                <w:bCs/>
                <w:color w:val="000000"/>
                <w:kern w:val="0"/>
                <w:lang w:eastAsia="es-CO"/>
                <w14:ligatures w14:val="none"/>
              </w:rPr>
              <w:t>Atenciones</w:t>
            </w:r>
          </w:p>
        </w:tc>
      </w:tr>
      <w:tr w:rsidR="0035430D" w:rsidRPr="0035430D" w14:paraId="49B2F3D1" w14:textId="77777777" w:rsidTr="0035430D">
        <w:trPr>
          <w:trHeight w:val="300"/>
          <w:jc w:val="center"/>
        </w:trPr>
        <w:tc>
          <w:tcPr>
            <w:tcW w:w="1696" w:type="dxa"/>
            <w:shd w:val="clear" w:color="auto" w:fill="auto"/>
            <w:noWrap/>
            <w:vAlign w:val="bottom"/>
            <w:hideMark/>
          </w:tcPr>
          <w:p w14:paraId="05B1B45E" w14:textId="77777777" w:rsidR="0035430D" w:rsidRPr="0035430D" w:rsidRDefault="0035430D" w:rsidP="0035430D">
            <w:pPr>
              <w:spacing w:after="0" w:line="240" w:lineRule="auto"/>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2022</w:t>
            </w:r>
          </w:p>
        </w:tc>
        <w:tc>
          <w:tcPr>
            <w:tcW w:w="1560" w:type="dxa"/>
            <w:shd w:val="clear" w:color="auto" w:fill="auto"/>
            <w:noWrap/>
            <w:vAlign w:val="bottom"/>
            <w:hideMark/>
          </w:tcPr>
          <w:p w14:paraId="0D613B1D" w14:textId="4DE1E0D2" w:rsidR="0035430D" w:rsidRPr="0035430D" w:rsidRDefault="0035430D" w:rsidP="0035430D">
            <w:pPr>
              <w:spacing w:after="0" w:line="240" w:lineRule="auto"/>
              <w:jc w:val="right"/>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140</w:t>
            </w:r>
            <w:r>
              <w:rPr>
                <w:rFonts w:ascii="Aptos Narrow" w:eastAsia="Times New Roman" w:hAnsi="Aptos Narrow" w:cs="Times New Roman"/>
                <w:color w:val="000000"/>
                <w:kern w:val="0"/>
                <w:lang w:eastAsia="es-CO"/>
                <w14:ligatures w14:val="none"/>
              </w:rPr>
              <w:t>.</w:t>
            </w:r>
            <w:r w:rsidRPr="0035430D">
              <w:rPr>
                <w:rFonts w:ascii="Aptos Narrow" w:eastAsia="Times New Roman" w:hAnsi="Aptos Narrow" w:cs="Times New Roman"/>
                <w:color w:val="000000"/>
                <w:kern w:val="0"/>
                <w:lang w:eastAsia="es-CO"/>
                <w14:ligatures w14:val="none"/>
              </w:rPr>
              <w:t>618</w:t>
            </w:r>
          </w:p>
        </w:tc>
        <w:tc>
          <w:tcPr>
            <w:tcW w:w="1417" w:type="dxa"/>
            <w:shd w:val="clear" w:color="auto" w:fill="auto"/>
            <w:noWrap/>
            <w:vAlign w:val="bottom"/>
            <w:hideMark/>
          </w:tcPr>
          <w:p w14:paraId="66258D84" w14:textId="67AAD18E" w:rsidR="0035430D" w:rsidRPr="0035430D" w:rsidRDefault="0035430D" w:rsidP="0035430D">
            <w:pPr>
              <w:spacing w:after="0" w:line="240" w:lineRule="auto"/>
              <w:jc w:val="right"/>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949</w:t>
            </w:r>
            <w:r>
              <w:rPr>
                <w:rFonts w:ascii="Aptos Narrow" w:eastAsia="Times New Roman" w:hAnsi="Aptos Narrow" w:cs="Times New Roman"/>
                <w:color w:val="000000"/>
                <w:kern w:val="0"/>
                <w:lang w:eastAsia="es-CO"/>
                <w14:ligatures w14:val="none"/>
              </w:rPr>
              <w:t>.</w:t>
            </w:r>
            <w:r w:rsidRPr="0035430D">
              <w:rPr>
                <w:rFonts w:ascii="Aptos Narrow" w:eastAsia="Times New Roman" w:hAnsi="Aptos Narrow" w:cs="Times New Roman"/>
                <w:color w:val="000000"/>
                <w:kern w:val="0"/>
                <w:lang w:eastAsia="es-CO"/>
                <w14:ligatures w14:val="none"/>
              </w:rPr>
              <w:t>116</w:t>
            </w:r>
          </w:p>
        </w:tc>
      </w:tr>
      <w:tr w:rsidR="0035430D" w:rsidRPr="0035430D" w14:paraId="2E1C788C" w14:textId="77777777" w:rsidTr="0035430D">
        <w:trPr>
          <w:trHeight w:val="300"/>
          <w:jc w:val="center"/>
        </w:trPr>
        <w:tc>
          <w:tcPr>
            <w:tcW w:w="1696" w:type="dxa"/>
            <w:shd w:val="clear" w:color="auto" w:fill="auto"/>
            <w:noWrap/>
            <w:vAlign w:val="bottom"/>
            <w:hideMark/>
          </w:tcPr>
          <w:p w14:paraId="71408438" w14:textId="77777777" w:rsidR="0035430D" w:rsidRPr="0035430D" w:rsidRDefault="0035430D" w:rsidP="0035430D">
            <w:pPr>
              <w:spacing w:after="0" w:line="240" w:lineRule="auto"/>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2023</w:t>
            </w:r>
          </w:p>
        </w:tc>
        <w:tc>
          <w:tcPr>
            <w:tcW w:w="1560" w:type="dxa"/>
            <w:shd w:val="clear" w:color="auto" w:fill="auto"/>
            <w:noWrap/>
            <w:vAlign w:val="bottom"/>
            <w:hideMark/>
          </w:tcPr>
          <w:p w14:paraId="531D5CBE" w14:textId="6D7AABC2" w:rsidR="0035430D" w:rsidRPr="0035430D" w:rsidRDefault="0035430D" w:rsidP="0035430D">
            <w:pPr>
              <w:spacing w:after="0" w:line="240" w:lineRule="auto"/>
              <w:jc w:val="right"/>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134</w:t>
            </w:r>
            <w:r>
              <w:rPr>
                <w:rFonts w:ascii="Aptos Narrow" w:eastAsia="Times New Roman" w:hAnsi="Aptos Narrow" w:cs="Times New Roman"/>
                <w:color w:val="000000"/>
                <w:kern w:val="0"/>
                <w:lang w:eastAsia="es-CO"/>
                <w14:ligatures w14:val="none"/>
              </w:rPr>
              <w:t>.</w:t>
            </w:r>
            <w:r w:rsidRPr="0035430D">
              <w:rPr>
                <w:rFonts w:ascii="Aptos Narrow" w:eastAsia="Times New Roman" w:hAnsi="Aptos Narrow" w:cs="Times New Roman"/>
                <w:color w:val="000000"/>
                <w:kern w:val="0"/>
                <w:lang w:eastAsia="es-CO"/>
                <w14:ligatures w14:val="none"/>
              </w:rPr>
              <w:t>616</w:t>
            </w:r>
          </w:p>
        </w:tc>
        <w:tc>
          <w:tcPr>
            <w:tcW w:w="1417" w:type="dxa"/>
            <w:shd w:val="clear" w:color="auto" w:fill="auto"/>
            <w:noWrap/>
            <w:vAlign w:val="bottom"/>
            <w:hideMark/>
          </w:tcPr>
          <w:p w14:paraId="287BBD5E" w14:textId="0D6B47B6" w:rsidR="0035430D" w:rsidRPr="0035430D" w:rsidRDefault="0035430D" w:rsidP="0035430D">
            <w:pPr>
              <w:spacing w:after="0" w:line="240" w:lineRule="auto"/>
              <w:jc w:val="right"/>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847</w:t>
            </w:r>
            <w:r>
              <w:rPr>
                <w:rFonts w:ascii="Aptos Narrow" w:eastAsia="Times New Roman" w:hAnsi="Aptos Narrow" w:cs="Times New Roman"/>
                <w:color w:val="000000"/>
                <w:kern w:val="0"/>
                <w:lang w:eastAsia="es-CO"/>
                <w14:ligatures w14:val="none"/>
              </w:rPr>
              <w:t>.</w:t>
            </w:r>
            <w:r w:rsidRPr="0035430D">
              <w:rPr>
                <w:rFonts w:ascii="Aptos Narrow" w:eastAsia="Times New Roman" w:hAnsi="Aptos Narrow" w:cs="Times New Roman"/>
                <w:color w:val="000000"/>
                <w:kern w:val="0"/>
                <w:lang w:eastAsia="es-CO"/>
                <w14:ligatures w14:val="none"/>
              </w:rPr>
              <w:t>013</w:t>
            </w:r>
          </w:p>
        </w:tc>
      </w:tr>
      <w:tr w:rsidR="0035430D" w:rsidRPr="0035430D" w14:paraId="674EB979" w14:textId="77777777" w:rsidTr="0035430D">
        <w:trPr>
          <w:trHeight w:val="300"/>
          <w:jc w:val="center"/>
        </w:trPr>
        <w:tc>
          <w:tcPr>
            <w:tcW w:w="1696" w:type="dxa"/>
            <w:shd w:val="clear" w:color="auto" w:fill="auto"/>
            <w:noWrap/>
            <w:vAlign w:val="bottom"/>
            <w:hideMark/>
          </w:tcPr>
          <w:p w14:paraId="15494B95" w14:textId="77777777" w:rsidR="0035430D" w:rsidRPr="0035430D" w:rsidRDefault="0035430D" w:rsidP="0035430D">
            <w:pPr>
              <w:spacing w:after="0" w:line="240" w:lineRule="auto"/>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2024</w:t>
            </w:r>
          </w:p>
        </w:tc>
        <w:tc>
          <w:tcPr>
            <w:tcW w:w="1560" w:type="dxa"/>
            <w:shd w:val="clear" w:color="auto" w:fill="auto"/>
            <w:noWrap/>
            <w:vAlign w:val="bottom"/>
            <w:hideMark/>
          </w:tcPr>
          <w:p w14:paraId="37E559DD" w14:textId="161C18A8" w:rsidR="0035430D" w:rsidRPr="0035430D" w:rsidRDefault="0035430D" w:rsidP="0035430D">
            <w:pPr>
              <w:spacing w:after="0" w:line="240" w:lineRule="auto"/>
              <w:jc w:val="right"/>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68</w:t>
            </w:r>
            <w:r>
              <w:rPr>
                <w:rFonts w:ascii="Aptos Narrow" w:eastAsia="Times New Roman" w:hAnsi="Aptos Narrow" w:cs="Times New Roman"/>
                <w:color w:val="000000"/>
                <w:kern w:val="0"/>
                <w:lang w:eastAsia="es-CO"/>
                <w14:ligatures w14:val="none"/>
              </w:rPr>
              <w:t>.</w:t>
            </w:r>
            <w:r w:rsidRPr="0035430D">
              <w:rPr>
                <w:rFonts w:ascii="Aptos Narrow" w:eastAsia="Times New Roman" w:hAnsi="Aptos Narrow" w:cs="Times New Roman"/>
                <w:color w:val="000000"/>
                <w:kern w:val="0"/>
                <w:lang w:eastAsia="es-CO"/>
                <w14:ligatures w14:val="none"/>
              </w:rPr>
              <w:t>397</w:t>
            </w:r>
          </w:p>
        </w:tc>
        <w:tc>
          <w:tcPr>
            <w:tcW w:w="1417" w:type="dxa"/>
            <w:shd w:val="clear" w:color="auto" w:fill="auto"/>
            <w:noWrap/>
            <w:vAlign w:val="bottom"/>
            <w:hideMark/>
          </w:tcPr>
          <w:p w14:paraId="74B538BE" w14:textId="3F8932B6" w:rsidR="0035430D" w:rsidRPr="0035430D" w:rsidRDefault="0035430D" w:rsidP="0035430D">
            <w:pPr>
              <w:spacing w:after="0" w:line="240" w:lineRule="auto"/>
              <w:jc w:val="right"/>
              <w:rPr>
                <w:rFonts w:ascii="Aptos Narrow" w:eastAsia="Times New Roman" w:hAnsi="Aptos Narrow" w:cs="Times New Roman"/>
                <w:color w:val="000000"/>
                <w:kern w:val="0"/>
                <w:lang w:eastAsia="es-CO"/>
                <w14:ligatures w14:val="none"/>
              </w:rPr>
            </w:pPr>
            <w:r w:rsidRPr="0035430D">
              <w:rPr>
                <w:rFonts w:ascii="Aptos Narrow" w:eastAsia="Times New Roman" w:hAnsi="Aptos Narrow" w:cs="Times New Roman"/>
                <w:color w:val="000000"/>
                <w:kern w:val="0"/>
                <w:lang w:eastAsia="es-CO"/>
                <w14:ligatures w14:val="none"/>
              </w:rPr>
              <w:t>315</w:t>
            </w:r>
            <w:r>
              <w:rPr>
                <w:rFonts w:ascii="Aptos Narrow" w:eastAsia="Times New Roman" w:hAnsi="Aptos Narrow" w:cs="Times New Roman"/>
                <w:color w:val="000000"/>
                <w:kern w:val="0"/>
                <w:lang w:eastAsia="es-CO"/>
                <w14:ligatures w14:val="none"/>
              </w:rPr>
              <w:t>.</w:t>
            </w:r>
            <w:r w:rsidRPr="0035430D">
              <w:rPr>
                <w:rFonts w:ascii="Aptos Narrow" w:eastAsia="Times New Roman" w:hAnsi="Aptos Narrow" w:cs="Times New Roman"/>
                <w:color w:val="000000"/>
                <w:kern w:val="0"/>
                <w:lang w:eastAsia="es-CO"/>
                <w14:ligatures w14:val="none"/>
              </w:rPr>
              <w:t>426</w:t>
            </w:r>
          </w:p>
        </w:tc>
      </w:tr>
      <w:tr w:rsidR="0035430D" w:rsidRPr="0035430D" w14:paraId="3389657C" w14:textId="77777777" w:rsidTr="0035430D">
        <w:trPr>
          <w:trHeight w:val="300"/>
          <w:jc w:val="center"/>
        </w:trPr>
        <w:tc>
          <w:tcPr>
            <w:tcW w:w="1696" w:type="dxa"/>
            <w:shd w:val="clear" w:color="auto" w:fill="D0CECE" w:themeFill="background2" w:themeFillShade="E6"/>
            <w:noWrap/>
            <w:vAlign w:val="bottom"/>
            <w:hideMark/>
          </w:tcPr>
          <w:p w14:paraId="522E38E3" w14:textId="77777777" w:rsidR="0035430D" w:rsidRPr="0035430D" w:rsidRDefault="0035430D" w:rsidP="0035430D">
            <w:pPr>
              <w:spacing w:after="0" w:line="240" w:lineRule="auto"/>
              <w:rPr>
                <w:rFonts w:ascii="Aptos Narrow" w:eastAsia="Times New Roman" w:hAnsi="Aptos Narrow" w:cs="Times New Roman"/>
                <w:b/>
                <w:bCs/>
                <w:color w:val="000000"/>
                <w:kern w:val="0"/>
                <w:lang w:eastAsia="es-CO"/>
                <w14:ligatures w14:val="none"/>
              </w:rPr>
            </w:pPr>
            <w:proofErr w:type="gramStart"/>
            <w:r w:rsidRPr="0035430D">
              <w:rPr>
                <w:rFonts w:ascii="Aptos Narrow" w:eastAsia="Times New Roman" w:hAnsi="Aptos Narrow" w:cs="Times New Roman"/>
                <w:b/>
                <w:bCs/>
                <w:color w:val="000000"/>
                <w:kern w:val="0"/>
                <w:lang w:eastAsia="es-CO"/>
                <w14:ligatures w14:val="none"/>
              </w:rPr>
              <w:t>Total</w:t>
            </w:r>
            <w:proofErr w:type="gramEnd"/>
            <w:r w:rsidRPr="0035430D">
              <w:rPr>
                <w:rFonts w:ascii="Aptos Narrow" w:eastAsia="Times New Roman" w:hAnsi="Aptos Narrow" w:cs="Times New Roman"/>
                <w:b/>
                <w:bCs/>
                <w:color w:val="000000"/>
                <w:kern w:val="0"/>
                <w:lang w:eastAsia="es-CO"/>
                <w14:ligatures w14:val="none"/>
              </w:rPr>
              <w:t xml:space="preserve"> general</w:t>
            </w:r>
          </w:p>
        </w:tc>
        <w:tc>
          <w:tcPr>
            <w:tcW w:w="1560" w:type="dxa"/>
            <w:shd w:val="clear" w:color="auto" w:fill="D0CECE" w:themeFill="background2" w:themeFillShade="E6"/>
            <w:noWrap/>
            <w:vAlign w:val="bottom"/>
            <w:hideMark/>
          </w:tcPr>
          <w:p w14:paraId="524945D0" w14:textId="4EEA9D27" w:rsidR="0035430D" w:rsidRPr="0035430D" w:rsidRDefault="0035430D" w:rsidP="0035430D">
            <w:pPr>
              <w:spacing w:after="0" w:line="240" w:lineRule="auto"/>
              <w:jc w:val="right"/>
              <w:rPr>
                <w:rFonts w:ascii="Aptos Narrow" w:eastAsia="Times New Roman" w:hAnsi="Aptos Narrow" w:cs="Times New Roman"/>
                <w:b/>
                <w:bCs/>
                <w:color w:val="000000"/>
                <w:kern w:val="0"/>
                <w:lang w:eastAsia="es-CO"/>
                <w14:ligatures w14:val="none"/>
              </w:rPr>
            </w:pPr>
            <w:r w:rsidRPr="0035430D">
              <w:rPr>
                <w:rFonts w:ascii="Aptos Narrow" w:eastAsia="Times New Roman" w:hAnsi="Aptos Narrow" w:cs="Times New Roman"/>
                <w:b/>
                <w:bCs/>
                <w:color w:val="000000"/>
                <w:kern w:val="0"/>
                <w:lang w:eastAsia="es-CO"/>
                <w14:ligatures w14:val="none"/>
              </w:rPr>
              <w:t>286</w:t>
            </w:r>
            <w:r>
              <w:rPr>
                <w:rFonts w:ascii="Aptos Narrow" w:eastAsia="Times New Roman" w:hAnsi="Aptos Narrow" w:cs="Times New Roman"/>
                <w:b/>
                <w:bCs/>
                <w:color w:val="000000"/>
                <w:kern w:val="0"/>
                <w:lang w:eastAsia="es-CO"/>
                <w14:ligatures w14:val="none"/>
              </w:rPr>
              <w:t>.</w:t>
            </w:r>
            <w:r w:rsidRPr="0035430D">
              <w:rPr>
                <w:rFonts w:ascii="Aptos Narrow" w:eastAsia="Times New Roman" w:hAnsi="Aptos Narrow" w:cs="Times New Roman"/>
                <w:b/>
                <w:bCs/>
                <w:color w:val="000000"/>
                <w:kern w:val="0"/>
                <w:lang w:eastAsia="es-CO"/>
                <w14:ligatures w14:val="none"/>
              </w:rPr>
              <w:t>256</w:t>
            </w:r>
          </w:p>
        </w:tc>
        <w:tc>
          <w:tcPr>
            <w:tcW w:w="1417" w:type="dxa"/>
            <w:shd w:val="clear" w:color="auto" w:fill="D0CECE" w:themeFill="background2" w:themeFillShade="E6"/>
            <w:noWrap/>
            <w:vAlign w:val="bottom"/>
            <w:hideMark/>
          </w:tcPr>
          <w:p w14:paraId="6008253C" w14:textId="06A9EA2B" w:rsidR="0035430D" w:rsidRPr="0035430D" w:rsidRDefault="0035430D" w:rsidP="0035430D">
            <w:pPr>
              <w:spacing w:after="0" w:line="240" w:lineRule="auto"/>
              <w:jc w:val="right"/>
              <w:rPr>
                <w:rFonts w:ascii="Aptos Narrow" w:eastAsia="Times New Roman" w:hAnsi="Aptos Narrow" w:cs="Times New Roman"/>
                <w:b/>
                <w:bCs/>
                <w:color w:val="000000"/>
                <w:kern w:val="0"/>
                <w:lang w:eastAsia="es-CO"/>
                <w14:ligatures w14:val="none"/>
              </w:rPr>
            </w:pPr>
            <w:r w:rsidRPr="0035430D">
              <w:rPr>
                <w:rFonts w:ascii="Aptos Narrow" w:eastAsia="Times New Roman" w:hAnsi="Aptos Narrow" w:cs="Times New Roman"/>
                <w:b/>
                <w:bCs/>
                <w:color w:val="000000"/>
                <w:kern w:val="0"/>
                <w:lang w:eastAsia="es-CO"/>
                <w14:ligatures w14:val="none"/>
              </w:rPr>
              <w:t>2</w:t>
            </w:r>
            <w:r>
              <w:rPr>
                <w:rFonts w:ascii="Aptos Narrow" w:eastAsia="Times New Roman" w:hAnsi="Aptos Narrow" w:cs="Times New Roman"/>
                <w:b/>
                <w:bCs/>
                <w:color w:val="000000"/>
                <w:kern w:val="0"/>
                <w:lang w:eastAsia="es-CO"/>
                <w14:ligatures w14:val="none"/>
              </w:rPr>
              <w:t>.</w:t>
            </w:r>
            <w:r w:rsidRPr="0035430D">
              <w:rPr>
                <w:rFonts w:ascii="Aptos Narrow" w:eastAsia="Times New Roman" w:hAnsi="Aptos Narrow" w:cs="Times New Roman"/>
                <w:b/>
                <w:bCs/>
                <w:color w:val="000000"/>
                <w:kern w:val="0"/>
                <w:lang w:eastAsia="es-CO"/>
                <w14:ligatures w14:val="none"/>
              </w:rPr>
              <w:t>111</w:t>
            </w:r>
            <w:r>
              <w:rPr>
                <w:rFonts w:ascii="Aptos Narrow" w:eastAsia="Times New Roman" w:hAnsi="Aptos Narrow" w:cs="Times New Roman"/>
                <w:b/>
                <w:bCs/>
                <w:color w:val="000000"/>
                <w:kern w:val="0"/>
                <w:lang w:eastAsia="es-CO"/>
                <w14:ligatures w14:val="none"/>
              </w:rPr>
              <w:t>.</w:t>
            </w:r>
            <w:r w:rsidRPr="0035430D">
              <w:rPr>
                <w:rFonts w:ascii="Aptos Narrow" w:eastAsia="Times New Roman" w:hAnsi="Aptos Narrow" w:cs="Times New Roman"/>
                <w:b/>
                <w:bCs/>
                <w:color w:val="000000"/>
                <w:kern w:val="0"/>
                <w:lang w:eastAsia="es-CO"/>
                <w14:ligatures w14:val="none"/>
              </w:rPr>
              <w:t>555</w:t>
            </w:r>
          </w:p>
        </w:tc>
      </w:tr>
    </w:tbl>
    <w:p w14:paraId="46E3048D" w14:textId="77777777" w:rsidR="0035430D" w:rsidRPr="003C20C7" w:rsidRDefault="0035430D" w:rsidP="003C20C7">
      <w:pPr>
        <w:jc w:val="both"/>
        <w:rPr>
          <w:b/>
          <w:bCs/>
        </w:rPr>
      </w:pPr>
    </w:p>
    <w:p w14:paraId="59BDF9A2" w14:textId="1AEB4F29" w:rsidR="003C20C7" w:rsidRPr="003C20C7" w:rsidRDefault="003C20C7" w:rsidP="003C20C7">
      <w:pPr>
        <w:jc w:val="both"/>
        <w:rPr>
          <w:sz w:val="18"/>
          <w:szCs w:val="18"/>
        </w:rPr>
      </w:pPr>
      <w:r w:rsidRPr="003C20C7">
        <w:rPr>
          <w:sz w:val="18"/>
          <w:szCs w:val="18"/>
        </w:rPr>
        <w:t>Fuente: Secretaría Distrital de Salud de Bogotá, Dirección de Planeación Sectorial. Reporte Consulta a RIPS 1</w:t>
      </w:r>
      <w:r w:rsidR="0035430D" w:rsidRPr="00421F39">
        <w:rPr>
          <w:sz w:val="18"/>
          <w:szCs w:val="18"/>
        </w:rPr>
        <w:t>547 modelo de gestantes</w:t>
      </w:r>
      <w:r w:rsidRPr="003C20C7">
        <w:rPr>
          <w:sz w:val="18"/>
          <w:szCs w:val="18"/>
        </w:rPr>
        <w:t xml:space="preserve"> [Conjunto de datos]. Consolidado a partir de </w:t>
      </w:r>
      <w:r w:rsidR="00724AB2" w:rsidRPr="00421F39">
        <w:rPr>
          <w:sz w:val="18"/>
          <w:szCs w:val="18"/>
        </w:rPr>
        <w:t xml:space="preserve">Base de datos RIPS SDS2011-2024, población vinculada, desplazada, atenciones no </w:t>
      </w:r>
      <w:proofErr w:type="spellStart"/>
      <w:r w:rsidR="00724AB2" w:rsidRPr="00421F39">
        <w:rPr>
          <w:sz w:val="18"/>
          <w:szCs w:val="18"/>
        </w:rPr>
        <w:t>pos</w:t>
      </w:r>
      <w:proofErr w:type="spellEnd"/>
      <w:r w:rsidR="00724AB2" w:rsidRPr="00421F39">
        <w:rPr>
          <w:sz w:val="18"/>
          <w:szCs w:val="18"/>
        </w:rPr>
        <w:t xml:space="preserve"> y particulares (Corte de recepción 2024/11/20)</w:t>
      </w:r>
      <w:r w:rsidRPr="003C20C7">
        <w:rPr>
          <w:sz w:val="18"/>
          <w:szCs w:val="18"/>
        </w:rPr>
        <w:t xml:space="preserve"> y </w:t>
      </w:r>
      <w:r w:rsidR="00724AB2" w:rsidRPr="00421F39">
        <w:rPr>
          <w:sz w:val="18"/>
          <w:szCs w:val="18"/>
        </w:rPr>
        <w:t>Base de datos RIPS SDS2011-2022, población subsidiada, contri</w:t>
      </w:r>
      <w:r w:rsidR="00724AB2" w:rsidRPr="00421F39">
        <w:rPr>
          <w:sz w:val="18"/>
          <w:szCs w:val="18"/>
        </w:rPr>
        <w:t>butiva</w:t>
      </w:r>
      <w:r w:rsidR="00724AB2" w:rsidRPr="00421F39">
        <w:rPr>
          <w:sz w:val="18"/>
          <w:szCs w:val="18"/>
        </w:rPr>
        <w:t>, corte recepción 2024/05/31)</w:t>
      </w:r>
    </w:p>
    <w:p w14:paraId="778E9E6C" w14:textId="25CB0772" w:rsidR="00724AB2" w:rsidRDefault="00724AB2" w:rsidP="00724AB2">
      <w:pPr>
        <w:jc w:val="both"/>
        <w:rPr>
          <w:sz w:val="18"/>
          <w:szCs w:val="18"/>
        </w:rPr>
      </w:pPr>
      <w:r w:rsidRPr="00421F39">
        <w:rPr>
          <w:rFonts w:ascii="Cambria Math" w:hAnsi="Cambria Math" w:cs="Cambria Math"/>
          <w:sz w:val="18"/>
          <w:szCs w:val="18"/>
        </w:rPr>
        <w:t>*</w:t>
      </w:r>
      <w:r w:rsidR="003C20C7" w:rsidRPr="003C20C7">
        <w:rPr>
          <w:sz w:val="18"/>
          <w:szCs w:val="18"/>
        </w:rPr>
        <w:t xml:space="preserve"> </w:t>
      </w:r>
      <w:r w:rsidRPr="00421F39">
        <w:rPr>
          <w:sz w:val="18"/>
          <w:szCs w:val="18"/>
        </w:rPr>
        <w:t xml:space="preserve">El total de individuos reportados en las columnas no coincide con la sumatoria de los valores reportados en los valores parciales debido a </w:t>
      </w:r>
      <w:r w:rsidR="00421F39">
        <w:rPr>
          <w:sz w:val="18"/>
          <w:szCs w:val="18"/>
        </w:rPr>
        <w:tab/>
        <w:t>que el</w:t>
      </w:r>
      <w:r w:rsidRPr="00421F39">
        <w:rPr>
          <w:sz w:val="18"/>
          <w:szCs w:val="18"/>
          <w:lang w:val="es-ES"/>
        </w:rPr>
        <w:t xml:space="preserve"> cálculo del total de individuos atendidos se realiza directamente a partir de la consulta de números únicos de identificación encontrados para el periodo de reporte. No es equivalente a la sumatoria de los valores parciales presentados, debido a que una persona en un mismo año puede haber cambiado de grupo de edad, o puede haber sido atendido por más de un prestador de servicios de salud o por más de un régimen de atención.</w:t>
      </w:r>
      <w:r w:rsidRPr="00421F39">
        <w:rPr>
          <w:rFonts w:ascii="Arial" w:hAnsi="Arial" w:cs="Arial"/>
          <w:sz w:val="18"/>
          <w:szCs w:val="18"/>
        </w:rPr>
        <w:t> </w:t>
      </w:r>
      <w:r w:rsidRPr="00724AB2">
        <w:rPr>
          <w:sz w:val="18"/>
          <w:szCs w:val="18"/>
        </w:rPr>
        <w:t> </w:t>
      </w:r>
    </w:p>
    <w:p w14:paraId="2D775EA5" w14:textId="10497636" w:rsidR="00421F39" w:rsidRPr="00E00810" w:rsidRDefault="00805361" w:rsidP="00724AB2">
      <w:pPr>
        <w:jc w:val="both"/>
      </w:pPr>
      <w:r w:rsidRPr="00805361">
        <w:t xml:space="preserve">En cuanto a las atenciones realizadas a las mujeres gestantes por servicio, se observa en la </w:t>
      </w:r>
      <w:r>
        <w:fldChar w:fldCharType="begin"/>
      </w:r>
      <w:r>
        <w:instrText xml:space="preserve"> REF _Ref186103580 \h </w:instrText>
      </w:r>
      <w:r>
        <w:fldChar w:fldCharType="separate"/>
      </w:r>
      <w:r>
        <w:t xml:space="preserve">Tabla </w:t>
      </w:r>
      <w:r>
        <w:rPr>
          <w:noProof/>
        </w:rPr>
        <w:t>2</w:t>
      </w:r>
      <w:r>
        <w:fldChar w:fldCharType="end"/>
      </w:r>
      <w:r>
        <w:t xml:space="preserve"> </w:t>
      </w:r>
      <w:r w:rsidRPr="00805361">
        <w:t>que el 56% de las atenciones fueron realizadas en consulta</w:t>
      </w:r>
      <w:r>
        <w:t xml:space="preserve"> que por lo general son los controles prenatales</w:t>
      </w:r>
      <w:r w:rsidRPr="00805361">
        <w:t xml:space="preserve"> y el 36,5% corresp</w:t>
      </w:r>
      <w:r>
        <w:t>onde a procedimientos</w:t>
      </w:r>
      <w:r w:rsidR="00C8550E" w:rsidRPr="00E00810">
        <w:t xml:space="preserve">. </w:t>
      </w:r>
    </w:p>
    <w:p w14:paraId="7D2A28B5" w14:textId="1F063C14" w:rsidR="00421F39" w:rsidRPr="00C8550E" w:rsidRDefault="00C8550E" w:rsidP="00C8550E">
      <w:pPr>
        <w:pStyle w:val="Descripcin"/>
        <w:rPr>
          <w:b/>
          <w:bCs/>
        </w:rPr>
      </w:pPr>
      <w:bookmarkStart w:id="1" w:name="_Ref186103580"/>
      <w:r>
        <w:t xml:space="preserve">Tabla </w:t>
      </w:r>
      <w:r>
        <w:fldChar w:fldCharType="begin"/>
      </w:r>
      <w:r>
        <w:instrText xml:space="preserve"> SEQ Tabla \* ARABIC </w:instrText>
      </w:r>
      <w:r>
        <w:fldChar w:fldCharType="separate"/>
      </w:r>
      <w:r>
        <w:rPr>
          <w:noProof/>
        </w:rPr>
        <w:t>2</w:t>
      </w:r>
      <w:r>
        <w:fldChar w:fldCharType="end"/>
      </w:r>
      <w:bookmarkEnd w:id="1"/>
      <w:r>
        <w:t xml:space="preserve"> </w:t>
      </w:r>
      <w:r w:rsidRPr="003C20C7">
        <w:rPr>
          <w:b/>
          <w:bCs/>
        </w:rPr>
        <w:t xml:space="preserve">Número de </w:t>
      </w:r>
      <w:r>
        <w:rPr>
          <w:b/>
          <w:bCs/>
        </w:rPr>
        <w:t>atenciones concepcionales</w:t>
      </w:r>
      <w:r w:rsidRPr="003C20C7">
        <w:rPr>
          <w:b/>
          <w:bCs/>
        </w:rPr>
        <w:t xml:space="preserve">, </w:t>
      </w:r>
      <w:r>
        <w:rPr>
          <w:b/>
          <w:bCs/>
        </w:rPr>
        <w:t xml:space="preserve">por servicios de atención, </w:t>
      </w:r>
      <w:r w:rsidRPr="003C20C7">
        <w:rPr>
          <w:b/>
          <w:bCs/>
        </w:rPr>
        <w:t>Bogotá 202</w:t>
      </w:r>
      <w:r>
        <w:rPr>
          <w:b/>
          <w:bCs/>
        </w:rPr>
        <w:t>2</w:t>
      </w:r>
      <w:r w:rsidRPr="003C20C7">
        <w:rPr>
          <w:b/>
          <w:bCs/>
        </w:rPr>
        <w:t xml:space="preserve"> a </w:t>
      </w:r>
      <w:r>
        <w:rPr>
          <w:b/>
          <w:bCs/>
        </w:rPr>
        <w:t>2024</w:t>
      </w:r>
    </w:p>
    <w:tbl>
      <w:tblPr>
        <w:tblW w:w="5000" w:type="pct"/>
        <w:tblCellMar>
          <w:left w:w="70" w:type="dxa"/>
          <w:right w:w="70" w:type="dxa"/>
        </w:tblCellMar>
        <w:tblLook w:val="04A0" w:firstRow="1" w:lastRow="0" w:firstColumn="1" w:lastColumn="0" w:noHBand="0" w:noVBand="1"/>
      </w:tblPr>
      <w:tblGrid>
        <w:gridCol w:w="1449"/>
        <w:gridCol w:w="923"/>
        <w:gridCol w:w="923"/>
        <w:gridCol w:w="922"/>
        <w:gridCol w:w="922"/>
        <w:gridCol w:w="923"/>
        <w:gridCol w:w="922"/>
        <w:gridCol w:w="922"/>
        <w:gridCol w:w="922"/>
      </w:tblGrid>
      <w:tr w:rsidR="00C8550E" w:rsidRPr="00C8550E" w14:paraId="5863ED19" w14:textId="77777777" w:rsidTr="00C8550E">
        <w:trPr>
          <w:trHeight w:val="315"/>
        </w:trPr>
        <w:tc>
          <w:tcPr>
            <w:tcW w:w="821"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634376" w14:textId="77777777" w:rsidR="00C8550E" w:rsidRPr="00C8550E" w:rsidRDefault="00C8550E" w:rsidP="00C8550E">
            <w:pPr>
              <w:spacing w:after="0" w:line="240" w:lineRule="auto"/>
              <w:jc w:val="center"/>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Servicios de atención</w:t>
            </w:r>
          </w:p>
        </w:tc>
        <w:tc>
          <w:tcPr>
            <w:tcW w:w="1045" w:type="pct"/>
            <w:gridSpan w:val="2"/>
            <w:tcBorders>
              <w:top w:val="single" w:sz="4" w:space="0" w:color="auto"/>
              <w:left w:val="nil"/>
              <w:bottom w:val="single" w:sz="4" w:space="0" w:color="auto"/>
              <w:right w:val="single" w:sz="4" w:space="0" w:color="auto"/>
            </w:tcBorders>
            <w:shd w:val="clear" w:color="DCE6F1" w:fill="D9D9D9"/>
            <w:noWrap/>
            <w:vAlign w:val="bottom"/>
            <w:hideMark/>
          </w:tcPr>
          <w:p w14:paraId="2E1FDDAF" w14:textId="77777777" w:rsidR="00C8550E" w:rsidRPr="00C8550E" w:rsidRDefault="00C8550E" w:rsidP="00C8550E">
            <w:pPr>
              <w:spacing w:after="0" w:line="240" w:lineRule="auto"/>
              <w:jc w:val="center"/>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2022</w:t>
            </w:r>
          </w:p>
        </w:tc>
        <w:tc>
          <w:tcPr>
            <w:tcW w:w="1044" w:type="pct"/>
            <w:gridSpan w:val="2"/>
            <w:tcBorders>
              <w:top w:val="single" w:sz="4" w:space="0" w:color="auto"/>
              <w:left w:val="nil"/>
              <w:bottom w:val="single" w:sz="4" w:space="0" w:color="auto"/>
              <w:right w:val="single" w:sz="4" w:space="0" w:color="000000"/>
            </w:tcBorders>
            <w:shd w:val="clear" w:color="DCE6F1" w:fill="D9D9D9"/>
            <w:noWrap/>
            <w:vAlign w:val="bottom"/>
            <w:hideMark/>
          </w:tcPr>
          <w:p w14:paraId="178857EC" w14:textId="77777777" w:rsidR="00C8550E" w:rsidRPr="00C8550E" w:rsidRDefault="00C8550E" w:rsidP="00C8550E">
            <w:pPr>
              <w:spacing w:after="0" w:line="240" w:lineRule="auto"/>
              <w:jc w:val="center"/>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2023</w:t>
            </w:r>
          </w:p>
        </w:tc>
        <w:tc>
          <w:tcPr>
            <w:tcW w:w="1045" w:type="pct"/>
            <w:gridSpan w:val="2"/>
            <w:tcBorders>
              <w:top w:val="single" w:sz="4" w:space="0" w:color="auto"/>
              <w:left w:val="nil"/>
              <w:bottom w:val="single" w:sz="4" w:space="0" w:color="auto"/>
              <w:right w:val="single" w:sz="4" w:space="0" w:color="000000"/>
            </w:tcBorders>
            <w:shd w:val="clear" w:color="DCE6F1" w:fill="D9D9D9"/>
            <w:noWrap/>
            <w:vAlign w:val="bottom"/>
            <w:hideMark/>
          </w:tcPr>
          <w:p w14:paraId="64A1A7F0" w14:textId="77777777" w:rsidR="00C8550E" w:rsidRPr="00C8550E" w:rsidRDefault="00C8550E" w:rsidP="00C8550E">
            <w:pPr>
              <w:spacing w:after="0" w:line="240" w:lineRule="auto"/>
              <w:jc w:val="center"/>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2024</w:t>
            </w:r>
          </w:p>
        </w:tc>
        <w:tc>
          <w:tcPr>
            <w:tcW w:w="522"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8B48CAA" w14:textId="5F8A351E" w:rsidR="00C8550E" w:rsidRPr="00C8550E" w:rsidRDefault="00805361" w:rsidP="00C8550E">
            <w:pPr>
              <w:spacing w:after="0" w:line="240" w:lineRule="auto"/>
              <w:jc w:val="center"/>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Total,</w:t>
            </w:r>
            <w:r w:rsidR="00C8550E" w:rsidRPr="00C8550E">
              <w:rPr>
                <w:rFonts w:ascii="Aptos Narrow" w:eastAsia="Times New Roman" w:hAnsi="Aptos Narrow" w:cs="Arial"/>
                <w:b/>
                <w:bCs/>
                <w:color w:val="000000"/>
                <w:kern w:val="0"/>
                <w:sz w:val="16"/>
                <w:szCs w:val="16"/>
                <w:lang w:eastAsia="es-CO"/>
                <w14:ligatures w14:val="none"/>
              </w:rPr>
              <w:t xml:space="preserve"> Individuos</w:t>
            </w:r>
          </w:p>
        </w:tc>
        <w:tc>
          <w:tcPr>
            <w:tcW w:w="522"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1850D81" w14:textId="0D7FC689" w:rsidR="00C8550E" w:rsidRPr="00C8550E" w:rsidRDefault="00805361" w:rsidP="00C8550E">
            <w:pPr>
              <w:spacing w:after="0" w:line="240" w:lineRule="auto"/>
              <w:jc w:val="center"/>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Total,</w:t>
            </w:r>
            <w:r w:rsidR="00C8550E" w:rsidRPr="00C8550E">
              <w:rPr>
                <w:rFonts w:ascii="Aptos Narrow" w:eastAsia="Times New Roman" w:hAnsi="Aptos Narrow" w:cs="Arial"/>
                <w:b/>
                <w:bCs/>
                <w:color w:val="000000"/>
                <w:kern w:val="0"/>
                <w:sz w:val="16"/>
                <w:szCs w:val="16"/>
                <w:lang w:eastAsia="es-CO"/>
                <w14:ligatures w14:val="none"/>
              </w:rPr>
              <w:t xml:space="preserve"> Atenciones</w:t>
            </w:r>
          </w:p>
        </w:tc>
      </w:tr>
      <w:tr w:rsidR="00C8550E" w:rsidRPr="00C8550E" w14:paraId="00447B04" w14:textId="77777777" w:rsidTr="00C8550E">
        <w:trPr>
          <w:trHeight w:val="300"/>
        </w:trPr>
        <w:tc>
          <w:tcPr>
            <w:tcW w:w="821" w:type="pct"/>
            <w:vMerge/>
            <w:tcBorders>
              <w:top w:val="single" w:sz="4" w:space="0" w:color="auto"/>
              <w:left w:val="single" w:sz="4" w:space="0" w:color="auto"/>
              <w:bottom w:val="single" w:sz="4" w:space="0" w:color="auto"/>
              <w:right w:val="single" w:sz="4" w:space="0" w:color="auto"/>
            </w:tcBorders>
            <w:vAlign w:val="center"/>
            <w:hideMark/>
          </w:tcPr>
          <w:p w14:paraId="0C8BACC1"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p>
        </w:tc>
        <w:tc>
          <w:tcPr>
            <w:tcW w:w="523" w:type="pct"/>
            <w:tcBorders>
              <w:top w:val="nil"/>
              <w:left w:val="nil"/>
              <w:bottom w:val="single" w:sz="4" w:space="0" w:color="auto"/>
              <w:right w:val="single" w:sz="4" w:space="0" w:color="auto"/>
            </w:tcBorders>
            <w:shd w:val="clear" w:color="000000" w:fill="D9D9D9"/>
            <w:noWrap/>
            <w:vAlign w:val="center"/>
            <w:hideMark/>
          </w:tcPr>
          <w:p w14:paraId="656F2554"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Individuos</w:t>
            </w:r>
          </w:p>
        </w:tc>
        <w:tc>
          <w:tcPr>
            <w:tcW w:w="522" w:type="pct"/>
            <w:tcBorders>
              <w:top w:val="nil"/>
              <w:left w:val="nil"/>
              <w:bottom w:val="single" w:sz="4" w:space="0" w:color="auto"/>
              <w:right w:val="single" w:sz="4" w:space="0" w:color="auto"/>
            </w:tcBorders>
            <w:shd w:val="clear" w:color="000000" w:fill="D9D9D9"/>
            <w:noWrap/>
            <w:vAlign w:val="center"/>
            <w:hideMark/>
          </w:tcPr>
          <w:p w14:paraId="73F7F0B6"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Atenciones</w:t>
            </w:r>
          </w:p>
        </w:tc>
        <w:tc>
          <w:tcPr>
            <w:tcW w:w="522" w:type="pct"/>
            <w:tcBorders>
              <w:top w:val="nil"/>
              <w:left w:val="nil"/>
              <w:bottom w:val="single" w:sz="4" w:space="0" w:color="auto"/>
              <w:right w:val="single" w:sz="4" w:space="0" w:color="auto"/>
            </w:tcBorders>
            <w:shd w:val="clear" w:color="000000" w:fill="D9D9D9"/>
            <w:noWrap/>
            <w:vAlign w:val="center"/>
            <w:hideMark/>
          </w:tcPr>
          <w:p w14:paraId="09DA7739"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Individuos</w:t>
            </w:r>
          </w:p>
        </w:tc>
        <w:tc>
          <w:tcPr>
            <w:tcW w:w="522" w:type="pct"/>
            <w:tcBorders>
              <w:top w:val="nil"/>
              <w:left w:val="nil"/>
              <w:bottom w:val="single" w:sz="4" w:space="0" w:color="auto"/>
              <w:right w:val="single" w:sz="4" w:space="0" w:color="auto"/>
            </w:tcBorders>
            <w:shd w:val="clear" w:color="000000" w:fill="D9D9D9"/>
            <w:noWrap/>
            <w:vAlign w:val="center"/>
            <w:hideMark/>
          </w:tcPr>
          <w:p w14:paraId="1D1C77FD"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Atenciones</w:t>
            </w:r>
          </w:p>
        </w:tc>
        <w:tc>
          <w:tcPr>
            <w:tcW w:w="523" w:type="pct"/>
            <w:tcBorders>
              <w:top w:val="nil"/>
              <w:left w:val="nil"/>
              <w:bottom w:val="single" w:sz="4" w:space="0" w:color="auto"/>
              <w:right w:val="single" w:sz="4" w:space="0" w:color="auto"/>
            </w:tcBorders>
            <w:shd w:val="clear" w:color="000000" w:fill="D9D9D9"/>
            <w:noWrap/>
            <w:vAlign w:val="center"/>
            <w:hideMark/>
          </w:tcPr>
          <w:p w14:paraId="6833D3D0"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Individuos</w:t>
            </w:r>
          </w:p>
        </w:tc>
        <w:tc>
          <w:tcPr>
            <w:tcW w:w="522" w:type="pct"/>
            <w:tcBorders>
              <w:top w:val="nil"/>
              <w:left w:val="nil"/>
              <w:bottom w:val="single" w:sz="4" w:space="0" w:color="auto"/>
              <w:right w:val="single" w:sz="4" w:space="0" w:color="auto"/>
            </w:tcBorders>
            <w:shd w:val="clear" w:color="000000" w:fill="D9D9D9"/>
            <w:noWrap/>
            <w:vAlign w:val="center"/>
            <w:hideMark/>
          </w:tcPr>
          <w:p w14:paraId="2751C787"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r w:rsidRPr="00C8550E">
              <w:rPr>
                <w:rFonts w:ascii="Aptos Narrow" w:eastAsia="Times New Roman" w:hAnsi="Aptos Narrow" w:cs="Arial"/>
                <w:b/>
                <w:bCs/>
                <w:color w:val="000000"/>
                <w:kern w:val="0"/>
                <w:sz w:val="16"/>
                <w:szCs w:val="16"/>
                <w:lang w:eastAsia="es-CO"/>
                <w14:ligatures w14:val="none"/>
              </w:rPr>
              <w:t>Atenciones</w:t>
            </w: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07604E47"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14A7B12B" w14:textId="77777777" w:rsidR="00C8550E" w:rsidRPr="00C8550E" w:rsidRDefault="00C8550E" w:rsidP="00C8550E">
            <w:pPr>
              <w:spacing w:after="0" w:line="240" w:lineRule="auto"/>
              <w:rPr>
                <w:rFonts w:ascii="Aptos Narrow" w:eastAsia="Times New Roman" w:hAnsi="Aptos Narrow" w:cs="Arial"/>
                <w:b/>
                <w:bCs/>
                <w:color w:val="000000"/>
                <w:kern w:val="0"/>
                <w:sz w:val="16"/>
                <w:szCs w:val="16"/>
                <w:lang w:eastAsia="es-CO"/>
                <w14:ligatures w14:val="none"/>
              </w:rPr>
            </w:pPr>
          </w:p>
        </w:tc>
      </w:tr>
      <w:tr w:rsidR="00C8550E" w:rsidRPr="00C8550E" w14:paraId="0E938316" w14:textId="77777777" w:rsidTr="00C8550E">
        <w:trPr>
          <w:trHeight w:val="255"/>
        </w:trPr>
        <w:tc>
          <w:tcPr>
            <w:tcW w:w="821" w:type="pct"/>
            <w:tcBorders>
              <w:top w:val="nil"/>
              <w:left w:val="single" w:sz="4" w:space="0" w:color="auto"/>
              <w:bottom w:val="single" w:sz="4" w:space="0" w:color="auto"/>
              <w:right w:val="single" w:sz="4" w:space="0" w:color="auto"/>
            </w:tcBorders>
            <w:shd w:val="clear" w:color="auto" w:fill="auto"/>
            <w:noWrap/>
            <w:vAlign w:val="bottom"/>
            <w:hideMark/>
          </w:tcPr>
          <w:p w14:paraId="5E300B5D"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Consultas</w:t>
            </w:r>
          </w:p>
        </w:tc>
        <w:tc>
          <w:tcPr>
            <w:tcW w:w="523" w:type="pct"/>
            <w:tcBorders>
              <w:top w:val="nil"/>
              <w:left w:val="nil"/>
              <w:bottom w:val="single" w:sz="4" w:space="0" w:color="auto"/>
              <w:right w:val="single" w:sz="4" w:space="0" w:color="auto"/>
            </w:tcBorders>
            <w:shd w:val="clear" w:color="auto" w:fill="auto"/>
            <w:noWrap/>
            <w:vAlign w:val="bottom"/>
            <w:hideMark/>
          </w:tcPr>
          <w:p w14:paraId="7430D07E"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108.804 </w:t>
            </w:r>
          </w:p>
        </w:tc>
        <w:tc>
          <w:tcPr>
            <w:tcW w:w="522" w:type="pct"/>
            <w:tcBorders>
              <w:top w:val="nil"/>
              <w:left w:val="nil"/>
              <w:bottom w:val="single" w:sz="4" w:space="0" w:color="auto"/>
              <w:right w:val="single" w:sz="4" w:space="0" w:color="auto"/>
            </w:tcBorders>
            <w:shd w:val="clear" w:color="auto" w:fill="auto"/>
            <w:noWrap/>
            <w:vAlign w:val="bottom"/>
            <w:hideMark/>
          </w:tcPr>
          <w:p w14:paraId="0FBB549B"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541.617 </w:t>
            </w:r>
          </w:p>
        </w:tc>
        <w:tc>
          <w:tcPr>
            <w:tcW w:w="522" w:type="pct"/>
            <w:tcBorders>
              <w:top w:val="nil"/>
              <w:left w:val="nil"/>
              <w:bottom w:val="single" w:sz="4" w:space="0" w:color="auto"/>
              <w:right w:val="single" w:sz="4" w:space="0" w:color="auto"/>
            </w:tcBorders>
            <w:shd w:val="clear" w:color="auto" w:fill="auto"/>
            <w:noWrap/>
            <w:vAlign w:val="bottom"/>
            <w:hideMark/>
          </w:tcPr>
          <w:p w14:paraId="20A98844"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104.743 </w:t>
            </w:r>
          </w:p>
        </w:tc>
        <w:tc>
          <w:tcPr>
            <w:tcW w:w="522" w:type="pct"/>
            <w:tcBorders>
              <w:top w:val="nil"/>
              <w:left w:val="nil"/>
              <w:bottom w:val="single" w:sz="4" w:space="0" w:color="auto"/>
              <w:right w:val="single" w:sz="4" w:space="0" w:color="auto"/>
            </w:tcBorders>
            <w:shd w:val="clear" w:color="auto" w:fill="auto"/>
            <w:noWrap/>
            <w:vAlign w:val="bottom"/>
            <w:hideMark/>
          </w:tcPr>
          <w:p w14:paraId="22DD56E5"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467.115 </w:t>
            </w:r>
          </w:p>
        </w:tc>
        <w:tc>
          <w:tcPr>
            <w:tcW w:w="523" w:type="pct"/>
            <w:tcBorders>
              <w:top w:val="nil"/>
              <w:left w:val="nil"/>
              <w:bottom w:val="single" w:sz="4" w:space="0" w:color="auto"/>
              <w:right w:val="single" w:sz="4" w:space="0" w:color="auto"/>
            </w:tcBorders>
            <w:shd w:val="clear" w:color="auto" w:fill="auto"/>
            <w:noWrap/>
            <w:vAlign w:val="bottom"/>
            <w:hideMark/>
          </w:tcPr>
          <w:p w14:paraId="205B5FE4"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50.600 </w:t>
            </w:r>
          </w:p>
        </w:tc>
        <w:tc>
          <w:tcPr>
            <w:tcW w:w="522" w:type="pct"/>
            <w:tcBorders>
              <w:top w:val="nil"/>
              <w:left w:val="nil"/>
              <w:bottom w:val="single" w:sz="4" w:space="0" w:color="auto"/>
              <w:right w:val="single" w:sz="4" w:space="0" w:color="auto"/>
            </w:tcBorders>
            <w:shd w:val="clear" w:color="auto" w:fill="auto"/>
            <w:noWrap/>
            <w:vAlign w:val="bottom"/>
            <w:hideMark/>
          </w:tcPr>
          <w:p w14:paraId="6C7A795A"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174.040 </w:t>
            </w:r>
          </w:p>
        </w:tc>
        <w:tc>
          <w:tcPr>
            <w:tcW w:w="522" w:type="pct"/>
            <w:tcBorders>
              <w:top w:val="nil"/>
              <w:left w:val="nil"/>
              <w:bottom w:val="single" w:sz="4" w:space="0" w:color="auto"/>
              <w:right w:val="single" w:sz="4" w:space="0" w:color="auto"/>
            </w:tcBorders>
            <w:shd w:val="clear" w:color="auto" w:fill="auto"/>
            <w:noWrap/>
            <w:vAlign w:val="bottom"/>
            <w:hideMark/>
          </w:tcPr>
          <w:p w14:paraId="318E757F"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222.399 </w:t>
            </w:r>
          </w:p>
        </w:tc>
        <w:tc>
          <w:tcPr>
            <w:tcW w:w="522" w:type="pct"/>
            <w:tcBorders>
              <w:top w:val="nil"/>
              <w:left w:val="nil"/>
              <w:bottom w:val="single" w:sz="4" w:space="0" w:color="auto"/>
              <w:right w:val="single" w:sz="4" w:space="0" w:color="auto"/>
            </w:tcBorders>
            <w:shd w:val="clear" w:color="auto" w:fill="auto"/>
            <w:noWrap/>
            <w:vAlign w:val="bottom"/>
            <w:hideMark/>
          </w:tcPr>
          <w:p w14:paraId="413E5018"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1.182.772 </w:t>
            </w:r>
          </w:p>
        </w:tc>
      </w:tr>
      <w:tr w:rsidR="00C8550E" w:rsidRPr="00C8550E" w14:paraId="2C61039C" w14:textId="77777777" w:rsidTr="00C8550E">
        <w:trPr>
          <w:trHeight w:val="255"/>
        </w:trPr>
        <w:tc>
          <w:tcPr>
            <w:tcW w:w="821" w:type="pct"/>
            <w:tcBorders>
              <w:top w:val="nil"/>
              <w:left w:val="single" w:sz="4" w:space="0" w:color="auto"/>
              <w:bottom w:val="single" w:sz="4" w:space="0" w:color="auto"/>
              <w:right w:val="single" w:sz="4" w:space="0" w:color="auto"/>
            </w:tcBorders>
            <w:shd w:val="clear" w:color="auto" w:fill="auto"/>
            <w:noWrap/>
            <w:vAlign w:val="bottom"/>
            <w:hideMark/>
          </w:tcPr>
          <w:p w14:paraId="4C1898B7"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Hospitalizaciones</w:t>
            </w:r>
          </w:p>
        </w:tc>
        <w:tc>
          <w:tcPr>
            <w:tcW w:w="523" w:type="pct"/>
            <w:tcBorders>
              <w:top w:val="nil"/>
              <w:left w:val="nil"/>
              <w:bottom w:val="single" w:sz="4" w:space="0" w:color="auto"/>
              <w:right w:val="single" w:sz="4" w:space="0" w:color="auto"/>
            </w:tcBorders>
            <w:shd w:val="clear" w:color="auto" w:fill="auto"/>
            <w:noWrap/>
            <w:vAlign w:val="bottom"/>
            <w:hideMark/>
          </w:tcPr>
          <w:p w14:paraId="66A78762"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30.358 </w:t>
            </w:r>
          </w:p>
        </w:tc>
        <w:tc>
          <w:tcPr>
            <w:tcW w:w="522" w:type="pct"/>
            <w:tcBorders>
              <w:top w:val="nil"/>
              <w:left w:val="nil"/>
              <w:bottom w:val="single" w:sz="4" w:space="0" w:color="auto"/>
              <w:right w:val="single" w:sz="4" w:space="0" w:color="auto"/>
            </w:tcBorders>
            <w:shd w:val="clear" w:color="auto" w:fill="auto"/>
            <w:noWrap/>
            <w:vAlign w:val="bottom"/>
            <w:hideMark/>
          </w:tcPr>
          <w:p w14:paraId="4401B1D0"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35.180 </w:t>
            </w:r>
          </w:p>
        </w:tc>
        <w:tc>
          <w:tcPr>
            <w:tcW w:w="522" w:type="pct"/>
            <w:tcBorders>
              <w:top w:val="nil"/>
              <w:left w:val="nil"/>
              <w:bottom w:val="single" w:sz="4" w:space="0" w:color="auto"/>
              <w:right w:val="single" w:sz="4" w:space="0" w:color="auto"/>
            </w:tcBorders>
            <w:shd w:val="clear" w:color="auto" w:fill="auto"/>
            <w:noWrap/>
            <w:vAlign w:val="bottom"/>
            <w:hideMark/>
          </w:tcPr>
          <w:p w14:paraId="100F5208"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27.071 </w:t>
            </w:r>
          </w:p>
        </w:tc>
        <w:tc>
          <w:tcPr>
            <w:tcW w:w="522" w:type="pct"/>
            <w:tcBorders>
              <w:top w:val="nil"/>
              <w:left w:val="nil"/>
              <w:bottom w:val="single" w:sz="4" w:space="0" w:color="auto"/>
              <w:right w:val="single" w:sz="4" w:space="0" w:color="auto"/>
            </w:tcBorders>
            <w:shd w:val="clear" w:color="auto" w:fill="auto"/>
            <w:noWrap/>
            <w:vAlign w:val="bottom"/>
            <w:hideMark/>
          </w:tcPr>
          <w:p w14:paraId="36CAABBD"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31.464 </w:t>
            </w:r>
          </w:p>
        </w:tc>
        <w:tc>
          <w:tcPr>
            <w:tcW w:w="523" w:type="pct"/>
            <w:tcBorders>
              <w:top w:val="nil"/>
              <w:left w:val="nil"/>
              <w:bottom w:val="single" w:sz="4" w:space="0" w:color="auto"/>
              <w:right w:val="single" w:sz="4" w:space="0" w:color="auto"/>
            </w:tcBorders>
            <w:shd w:val="clear" w:color="auto" w:fill="auto"/>
            <w:noWrap/>
            <w:vAlign w:val="bottom"/>
            <w:hideMark/>
          </w:tcPr>
          <w:p w14:paraId="182B394B"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10.343 </w:t>
            </w:r>
          </w:p>
        </w:tc>
        <w:tc>
          <w:tcPr>
            <w:tcW w:w="522" w:type="pct"/>
            <w:tcBorders>
              <w:top w:val="nil"/>
              <w:left w:val="nil"/>
              <w:bottom w:val="single" w:sz="4" w:space="0" w:color="auto"/>
              <w:right w:val="single" w:sz="4" w:space="0" w:color="auto"/>
            </w:tcBorders>
            <w:shd w:val="clear" w:color="auto" w:fill="auto"/>
            <w:noWrap/>
            <w:vAlign w:val="bottom"/>
            <w:hideMark/>
          </w:tcPr>
          <w:p w14:paraId="4D41BE99"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11.683 </w:t>
            </w:r>
          </w:p>
        </w:tc>
        <w:tc>
          <w:tcPr>
            <w:tcW w:w="522" w:type="pct"/>
            <w:tcBorders>
              <w:top w:val="nil"/>
              <w:left w:val="nil"/>
              <w:bottom w:val="single" w:sz="4" w:space="0" w:color="auto"/>
              <w:right w:val="single" w:sz="4" w:space="0" w:color="auto"/>
            </w:tcBorders>
            <w:shd w:val="clear" w:color="auto" w:fill="auto"/>
            <w:noWrap/>
            <w:vAlign w:val="bottom"/>
            <w:hideMark/>
          </w:tcPr>
          <w:p w14:paraId="6E39D0F1"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66.123 </w:t>
            </w:r>
          </w:p>
        </w:tc>
        <w:tc>
          <w:tcPr>
            <w:tcW w:w="522" w:type="pct"/>
            <w:tcBorders>
              <w:top w:val="nil"/>
              <w:left w:val="nil"/>
              <w:bottom w:val="single" w:sz="4" w:space="0" w:color="auto"/>
              <w:right w:val="single" w:sz="4" w:space="0" w:color="auto"/>
            </w:tcBorders>
            <w:shd w:val="clear" w:color="auto" w:fill="auto"/>
            <w:noWrap/>
            <w:vAlign w:val="bottom"/>
            <w:hideMark/>
          </w:tcPr>
          <w:p w14:paraId="3B1193D4"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78.327 </w:t>
            </w:r>
          </w:p>
        </w:tc>
      </w:tr>
      <w:tr w:rsidR="00C8550E" w:rsidRPr="00C8550E" w14:paraId="748DF841" w14:textId="77777777" w:rsidTr="00C8550E">
        <w:trPr>
          <w:trHeight w:val="255"/>
        </w:trPr>
        <w:tc>
          <w:tcPr>
            <w:tcW w:w="821" w:type="pct"/>
            <w:tcBorders>
              <w:top w:val="nil"/>
              <w:left w:val="single" w:sz="4" w:space="0" w:color="auto"/>
              <w:bottom w:val="single" w:sz="4" w:space="0" w:color="auto"/>
              <w:right w:val="single" w:sz="4" w:space="0" w:color="auto"/>
            </w:tcBorders>
            <w:shd w:val="clear" w:color="auto" w:fill="auto"/>
            <w:noWrap/>
            <w:vAlign w:val="bottom"/>
            <w:hideMark/>
          </w:tcPr>
          <w:p w14:paraId="20D4381D"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Procedimientos</w:t>
            </w:r>
          </w:p>
        </w:tc>
        <w:tc>
          <w:tcPr>
            <w:tcW w:w="523" w:type="pct"/>
            <w:tcBorders>
              <w:top w:val="nil"/>
              <w:left w:val="nil"/>
              <w:bottom w:val="single" w:sz="4" w:space="0" w:color="auto"/>
              <w:right w:val="single" w:sz="4" w:space="0" w:color="auto"/>
            </w:tcBorders>
            <w:shd w:val="clear" w:color="auto" w:fill="auto"/>
            <w:noWrap/>
            <w:vAlign w:val="bottom"/>
            <w:hideMark/>
          </w:tcPr>
          <w:p w14:paraId="08796C1B"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111.356 </w:t>
            </w:r>
          </w:p>
        </w:tc>
        <w:tc>
          <w:tcPr>
            <w:tcW w:w="522" w:type="pct"/>
            <w:tcBorders>
              <w:top w:val="nil"/>
              <w:left w:val="nil"/>
              <w:bottom w:val="single" w:sz="4" w:space="0" w:color="auto"/>
              <w:right w:val="single" w:sz="4" w:space="0" w:color="auto"/>
            </w:tcBorders>
            <w:shd w:val="clear" w:color="auto" w:fill="auto"/>
            <w:noWrap/>
            <w:vAlign w:val="bottom"/>
            <w:hideMark/>
          </w:tcPr>
          <w:p w14:paraId="35350ACC"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334.007 </w:t>
            </w:r>
          </w:p>
        </w:tc>
        <w:tc>
          <w:tcPr>
            <w:tcW w:w="522" w:type="pct"/>
            <w:tcBorders>
              <w:top w:val="nil"/>
              <w:left w:val="nil"/>
              <w:bottom w:val="single" w:sz="4" w:space="0" w:color="auto"/>
              <w:right w:val="single" w:sz="4" w:space="0" w:color="auto"/>
            </w:tcBorders>
            <w:shd w:val="clear" w:color="auto" w:fill="auto"/>
            <w:noWrap/>
            <w:vAlign w:val="bottom"/>
            <w:hideMark/>
          </w:tcPr>
          <w:p w14:paraId="4EEBF66C"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103.648 </w:t>
            </w:r>
          </w:p>
        </w:tc>
        <w:tc>
          <w:tcPr>
            <w:tcW w:w="522" w:type="pct"/>
            <w:tcBorders>
              <w:top w:val="nil"/>
              <w:left w:val="nil"/>
              <w:bottom w:val="single" w:sz="4" w:space="0" w:color="auto"/>
              <w:right w:val="single" w:sz="4" w:space="0" w:color="auto"/>
            </w:tcBorders>
            <w:shd w:val="clear" w:color="auto" w:fill="auto"/>
            <w:noWrap/>
            <w:vAlign w:val="bottom"/>
            <w:hideMark/>
          </w:tcPr>
          <w:p w14:paraId="4D595D8F"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319.138 </w:t>
            </w:r>
          </w:p>
        </w:tc>
        <w:tc>
          <w:tcPr>
            <w:tcW w:w="523" w:type="pct"/>
            <w:tcBorders>
              <w:top w:val="nil"/>
              <w:left w:val="nil"/>
              <w:bottom w:val="single" w:sz="4" w:space="0" w:color="auto"/>
              <w:right w:val="single" w:sz="4" w:space="0" w:color="auto"/>
            </w:tcBorders>
            <w:shd w:val="clear" w:color="auto" w:fill="auto"/>
            <w:noWrap/>
            <w:vAlign w:val="bottom"/>
            <w:hideMark/>
          </w:tcPr>
          <w:p w14:paraId="786705FF"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53.058 </w:t>
            </w:r>
          </w:p>
        </w:tc>
        <w:tc>
          <w:tcPr>
            <w:tcW w:w="522" w:type="pct"/>
            <w:tcBorders>
              <w:top w:val="nil"/>
              <w:left w:val="nil"/>
              <w:bottom w:val="single" w:sz="4" w:space="0" w:color="auto"/>
              <w:right w:val="single" w:sz="4" w:space="0" w:color="auto"/>
            </w:tcBorders>
            <w:shd w:val="clear" w:color="auto" w:fill="auto"/>
            <w:noWrap/>
            <w:vAlign w:val="bottom"/>
            <w:hideMark/>
          </w:tcPr>
          <w:p w14:paraId="235DF9AE"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118.064 </w:t>
            </w:r>
          </w:p>
        </w:tc>
        <w:tc>
          <w:tcPr>
            <w:tcW w:w="522" w:type="pct"/>
            <w:tcBorders>
              <w:top w:val="nil"/>
              <w:left w:val="nil"/>
              <w:bottom w:val="single" w:sz="4" w:space="0" w:color="auto"/>
              <w:right w:val="single" w:sz="4" w:space="0" w:color="auto"/>
            </w:tcBorders>
            <w:shd w:val="clear" w:color="auto" w:fill="auto"/>
            <w:noWrap/>
            <w:vAlign w:val="bottom"/>
            <w:hideMark/>
          </w:tcPr>
          <w:p w14:paraId="67404D5E"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231.844 </w:t>
            </w:r>
          </w:p>
        </w:tc>
        <w:tc>
          <w:tcPr>
            <w:tcW w:w="522" w:type="pct"/>
            <w:tcBorders>
              <w:top w:val="nil"/>
              <w:left w:val="nil"/>
              <w:bottom w:val="single" w:sz="4" w:space="0" w:color="auto"/>
              <w:right w:val="single" w:sz="4" w:space="0" w:color="auto"/>
            </w:tcBorders>
            <w:shd w:val="clear" w:color="auto" w:fill="auto"/>
            <w:noWrap/>
            <w:vAlign w:val="bottom"/>
            <w:hideMark/>
          </w:tcPr>
          <w:p w14:paraId="28E50217"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771.209 </w:t>
            </w:r>
          </w:p>
        </w:tc>
      </w:tr>
      <w:tr w:rsidR="00C8550E" w:rsidRPr="00C8550E" w14:paraId="6B26A033" w14:textId="77777777" w:rsidTr="00C8550E">
        <w:trPr>
          <w:trHeight w:val="255"/>
        </w:trPr>
        <w:tc>
          <w:tcPr>
            <w:tcW w:w="821" w:type="pct"/>
            <w:tcBorders>
              <w:top w:val="nil"/>
              <w:left w:val="single" w:sz="4" w:space="0" w:color="auto"/>
              <w:bottom w:val="single" w:sz="4" w:space="0" w:color="auto"/>
              <w:right w:val="single" w:sz="4" w:space="0" w:color="auto"/>
            </w:tcBorders>
            <w:shd w:val="clear" w:color="auto" w:fill="auto"/>
            <w:noWrap/>
            <w:vAlign w:val="bottom"/>
            <w:hideMark/>
          </w:tcPr>
          <w:p w14:paraId="0579D5E5"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Urgencias</w:t>
            </w:r>
          </w:p>
        </w:tc>
        <w:tc>
          <w:tcPr>
            <w:tcW w:w="523" w:type="pct"/>
            <w:tcBorders>
              <w:top w:val="nil"/>
              <w:left w:val="nil"/>
              <w:bottom w:val="single" w:sz="4" w:space="0" w:color="auto"/>
              <w:right w:val="single" w:sz="4" w:space="0" w:color="auto"/>
            </w:tcBorders>
            <w:shd w:val="clear" w:color="auto" w:fill="auto"/>
            <w:noWrap/>
            <w:vAlign w:val="bottom"/>
            <w:hideMark/>
          </w:tcPr>
          <w:p w14:paraId="2E0F6478"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23.814 </w:t>
            </w:r>
          </w:p>
        </w:tc>
        <w:tc>
          <w:tcPr>
            <w:tcW w:w="522" w:type="pct"/>
            <w:tcBorders>
              <w:top w:val="nil"/>
              <w:left w:val="nil"/>
              <w:bottom w:val="single" w:sz="4" w:space="0" w:color="auto"/>
              <w:right w:val="single" w:sz="4" w:space="0" w:color="auto"/>
            </w:tcBorders>
            <w:shd w:val="clear" w:color="auto" w:fill="auto"/>
            <w:noWrap/>
            <w:vAlign w:val="bottom"/>
            <w:hideMark/>
          </w:tcPr>
          <w:p w14:paraId="1F8E24DD"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38.312 </w:t>
            </w:r>
          </w:p>
        </w:tc>
        <w:tc>
          <w:tcPr>
            <w:tcW w:w="522" w:type="pct"/>
            <w:tcBorders>
              <w:top w:val="nil"/>
              <w:left w:val="nil"/>
              <w:bottom w:val="single" w:sz="4" w:space="0" w:color="auto"/>
              <w:right w:val="single" w:sz="4" w:space="0" w:color="auto"/>
            </w:tcBorders>
            <w:shd w:val="clear" w:color="auto" w:fill="auto"/>
            <w:noWrap/>
            <w:vAlign w:val="bottom"/>
            <w:hideMark/>
          </w:tcPr>
          <w:p w14:paraId="2B2900E3"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18.515 </w:t>
            </w:r>
          </w:p>
        </w:tc>
        <w:tc>
          <w:tcPr>
            <w:tcW w:w="522" w:type="pct"/>
            <w:tcBorders>
              <w:top w:val="nil"/>
              <w:left w:val="nil"/>
              <w:bottom w:val="single" w:sz="4" w:space="0" w:color="auto"/>
              <w:right w:val="single" w:sz="4" w:space="0" w:color="auto"/>
            </w:tcBorders>
            <w:shd w:val="clear" w:color="auto" w:fill="auto"/>
            <w:noWrap/>
            <w:vAlign w:val="bottom"/>
            <w:hideMark/>
          </w:tcPr>
          <w:p w14:paraId="5F13CCB2"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29.296 </w:t>
            </w:r>
          </w:p>
        </w:tc>
        <w:tc>
          <w:tcPr>
            <w:tcW w:w="523" w:type="pct"/>
            <w:tcBorders>
              <w:top w:val="nil"/>
              <w:left w:val="nil"/>
              <w:bottom w:val="single" w:sz="4" w:space="0" w:color="auto"/>
              <w:right w:val="single" w:sz="4" w:space="0" w:color="auto"/>
            </w:tcBorders>
            <w:shd w:val="clear" w:color="auto" w:fill="auto"/>
            <w:noWrap/>
            <w:vAlign w:val="bottom"/>
            <w:hideMark/>
          </w:tcPr>
          <w:p w14:paraId="15A0A667"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7.010 </w:t>
            </w:r>
          </w:p>
        </w:tc>
        <w:tc>
          <w:tcPr>
            <w:tcW w:w="522" w:type="pct"/>
            <w:tcBorders>
              <w:top w:val="nil"/>
              <w:left w:val="nil"/>
              <w:bottom w:val="single" w:sz="4" w:space="0" w:color="auto"/>
              <w:right w:val="single" w:sz="4" w:space="0" w:color="auto"/>
            </w:tcBorders>
            <w:shd w:val="clear" w:color="auto" w:fill="auto"/>
            <w:noWrap/>
            <w:vAlign w:val="bottom"/>
            <w:hideMark/>
          </w:tcPr>
          <w:p w14:paraId="4F1C79CF"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11.639 </w:t>
            </w:r>
          </w:p>
        </w:tc>
        <w:tc>
          <w:tcPr>
            <w:tcW w:w="522" w:type="pct"/>
            <w:tcBorders>
              <w:top w:val="nil"/>
              <w:left w:val="nil"/>
              <w:bottom w:val="single" w:sz="4" w:space="0" w:color="auto"/>
              <w:right w:val="single" w:sz="4" w:space="0" w:color="auto"/>
            </w:tcBorders>
            <w:shd w:val="clear" w:color="auto" w:fill="auto"/>
            <w:noWrap/>
            <w:vAlign w:val="bottom"/>
            <w:hideMark/>
          </w:tcPr>
          <w:p w14:paraId="1279E37A"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46.504 </w:t>
            </w:r>
          </w:p>
        </w:tc>
        <w:tc>
          <w:tcPr>
            <w:tcW w:w="522" w:type="pct"/>
            <w:tcBorders>
              <w:top w:val="nil"/>
              <w:left w:val="nil"/>
              <w:bottom w:val="single" w:sz="4" w:space="0" w:color="auto"/>
              <w:right w:val="single" w:sz="4" w:space="0" w:color="auto"/>
            </w:tcBorders>
            <w:shd w:val="clear" w:color="auto" w:fill="auto"/>
            <w:noWrap/>
            <w:vAlign w:val="bottom"/>
            <w:hideMark/>
          </w:tcPr>
          <w:p w14:paraId="69187AA9" w14:textId="77777777" w:rsidR="00C8550E" w:rsidRPr="00C8550E" w:rsidRDefault="00C8550E" w:rsidP="00C8550E">
            <w:pPr>
              <w:spacing w:after="0" w:line="240" w:lineRule="auto"/>
              <w:rPr>
                <w:rFonts w:ascii="Arial" w:eastAsia="Times New Roman" w:hAnsi="Arial" w:cs="Arial"/>
                <w:kern w:val="0"/>
                <w:sz w:val="16"/>
                <w:szCs w:val="16"/>
                <w:lang w:eastAsia="es-CO"/>
                <w14:ligatures w14:val="none"/>
              </w:rPr>
            </w:pPr>
            <w:r w:rsidRPr="00C8550E">
              <w:rPr>
                <w:rFonts w:ascii="Arial" w:eastAsia="Times New Roman" w:hAnsi="Arial" w:cs="Arial"/>
                <w:kern w:val="0"/>
                <w:sz w:val="16"/>
                <w:szCs w:val="16"/>
                <w:lang w:eastAsia="es-CO"/>
                <w14:ligatures w14:val="none"/>
              </w:rPr>
              <w:t xml:space="preserve">        79.247 </w:t>
            </w:r>
          </w:p>
        </w:tc>
      </w:tr>
      <w:tr w:rsidR="00C8550E" w:rsidRPr="00C8550E" w14:paraId="07859B12" w14:textId="77777777" w:rsidTr="00C8550E">
        <w:trPr>
          <w:trHeight w:val="300"/>
        </w:trPr>
        <w:tc>
          <w:tcPr>
            <w:tcW w:w="821" w:type="pct"/>
            <w:tcBorders>
              <w:top w:val="nil"/>
              <w:left w:val="single" w:sz="4" w:space="0" w:color="auto"/>
              <w:bottom w:val="single" w:sz="4" w:space="0" w:color="auto"/>
              <w:right w:val="single" w:sz="4" w:space="0" w:color="auto"/>
            </w:tcBorders>
            <w:shd w:val="clear" w:color="DCE6F1" w:fill="D9D9D9"/>
            <w:noWrap/>
            <w:vAlign w:val="bottom"/>
            <w:hideMark/>
          </w:tcPr>
          <w:p w14:paraId="43DCB991" w14:textId="3C6C2E1E" w:rsidR="00C8550E" w:rsidRPr="00C8550E" w:rsidRDefault="00805361"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lastRenderedPageBreak/>
              <w:t>Total,</w:t>
            </w:r>
            <w:r w:rsidR="00C8550E" w:rsidRPr="00C8550E">
              <w:rPr>
                <w:rFonts w:ascii="Calibri" w:eastAsia="Times New Roman" w:hAnsi="Calibri" w:cs="Calibri"/>
                <w:b/>
                <w:bCs/>
                <w:color w:val="000000"/>
                <w:kern w:val="0"/>
                <w:sz w:val="16"/>
                <w:szCs w:val="16"/>
                <w:lang w:eastAsia="es-CO"/>
                <w14:ligatures w14:val="none"/>
              </w:rPr>
              <w:t xml:space="preserve"> general</w:t>
            </w:r>
          </w:p>
        </w:tc>
        <w:tc>
          <w:tcPr>
            <w:tcW w:w="523" w:type="pct"/>
            <w:tcBorders>
              <w:top w:val="nil"/>
              <w:left w:val="nil"/>
              <w:bottom w:val="single" w:sz="4" w:space="0" w:color="auto"/>
              <w:right w:val="single" w:sz="4" w:space="0" w:color="auto"/>
            </w:tcBorders>
            <w:shd w:val="clear" w:color="DCE6F1" w:fill="D9D9D9"/>
            <w:noWrap/>
            <w:vAlign w:val="bottom"/>
            <w:hideMark/>
          </w:tcPr>
          <w:p w14:paraId="05C7BF07"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140.618 </w:t>
            </w:r>
          </w:p>
        </w:tc>
        <w:tc>
          <w:tcPr>
            <w:tcW w:w="522" w:type="pct"/>
            <w:tcBorders>
              <w:top w:val="nil"/>
              <w:left w:val="nil"/>
              <w:bottom w:val="single" w:sz="4" w:space="0" w:color="auto"/>
              <w:right w:val="single" w:sz="4" w:space="0" w:color="auto"/>
            </w:tcBorders>
            <w:shd w:val="clear" w:color="DCE6F1" w:fill="D9D9D9"/>
            <w:noWrap/>
            <w:vAlign w:val="bottom"/>
            <w:hideMark/>
          </w:tcPr>
          <w:p w14:paraId="5AF830BB"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949.116 </w:t>
            </w:r>
          </w:p>
        </w:tc>
        <w:tc>
          <w:tcPr>
            <w:tcW w:w="522" w:type="pct"/>
            <w:tcBorders>
              <w:top w:val="nil"/>
              <w:left w:val="nil"/>
              <w:bottom w:val="single" w:sz="4" w:space="0" w:color="auto"/>
              <w:right w:val="single" w:sz="4" w:space="0" w:color="auto"/>
            </w:tcBorders>
            <w:shd w:val="clear" w:color="DCE6F1" w:fill="D9D9D9"/>
            <w:noWrap/>
            <w:vAlign w:val="bottom"/>
            <w:hideMark/>
          </w:tcPr>
          <w:p w14:paraId="7E7250D1"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134.616 </w:t>
            </w:r>
          </w:p>
        </w:tc>
        <w:tc>
          <w:tcPr>
            <w:tcW w:w="522" w:type="pct"/>
            <w:tcBorders>
              <w:top w:val="nil"/>
              <w:left w:val="nil"/>
              <w:bottom w:val="single" w:sz="4" w:space="0" w:color="auto"/>
              <w:right w:val="single" w:sz="4" w:space="0" w:color="auto"/>
            </w:tcBorders>
            <w:shd w:val="clear" w:color="DCE6F1" w:fill="D9D9D9"/>
            <w:noWrap/>
            <w:vAlign w:val="bottom"/>
            <w:hideMark/>
          </w:tcPr>
          <w:p w14:paraId="02936ECC"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847.013 </w:t>
            </w:r>
          </w:p>
        </w:tc>
        <w:tc>
          <w:tcPr>
            <w:tcW w:w="523" w:type="pct"/>
            <w:tcBorders>
              <w:top w:val="nil"/>
              <w:left w:val="nil"/>
              <w:bottom w:val="single" w:sz="4" w:space="0" w:color="auto"/>
              <w:right w:val="single" w:sz="4" w:space="0" w:color="auto"/>
            </w:tcBorders>
            <w:shd w:val="clear" w:color="DCE6F1" w:fill="D9D9D9"/>
            <w:noWrap/>
            <w:vAlign w:val="bottom"/>
            <w:hideMark/>
          </w:tcPr>
          <w:p w14:paraId="6D0E27CD"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68.397 </w:t>
            </w:r>
          </w:p>
        </w:tc>
        <w:tc>
          <w:tcPr>
            <w:tcW w:w="522" w:type="pct"/>
            <w:tcBorders>
              <w:top w:val="nil"/>
              <w:left w:val="nil"/>
              <w:bottom w:val="single" w:sz="4" w:space="0" w:color="auto"/>
              <w:right w:val="single" w:sz="4" w:space="0" w:color="auto"/>
            </w:tcBorders>
            <w:shd w:val="clear" w:color="DCE6F1" w:fill="D9D9D9"/>
            <w:noWrap/>
            <w:vAlign w:val="bottom"/>
            <w:hideMark/>
          </w:tcPr>
          <w:p w14:paraId="5319DD4F"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315.426 </w:t>
            </w:r>
          </w:p>
        </w:tc>
        <w:tc>
          <w:tcPr>
            <w:tcW w:w="522" w:type="pct"/>
            <w:tcBorders>
              <w:top w:val="nil"/>
              <w:left w:val="nil"/>
              <w:bottom w:val="single" w:sz="4" w:space="0" w:color="auto"/>
              <w:right w:val="single" w:sz="4" w:space="0" w:color="auto"/>
            </w:tcBorders>
            <w:shd w:val="clear" w:color="DCE6F1" w:fill="D9D9D9"/>
            <w:noWrap/>
            <w:vAlign w:val="bottom"/>
            <w:hideMark/>
          </w:tcPr>
          <w:p w14:paraId="224BF798"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286.256 </w:t>
            </w:r>
          </w:p>
        </w:tc>
        <w:tc>
          <w:tcPr>
            <w:tcW w:w="522" w:type="pct"/>
            <w:tcBorders>
              <w:top w:val="nil"/>
              <w:left w:val="nil"/>
              <w:bottom w:val="single" w:sz="4" w:space="0" w:color="auto"/>
              <w:right w:val="single" w:sz="4" w:space="0" w:color="auto"/>
            </w:tcBorders>
            <w:shd w:val="clear" w:color="DCE6F1" w:fill="D9D9D9"/>
            <w:noWrap/>
            <w:vAlign w:val="bottom"/>
            <w:hideMark/>
          </w:tcPr>
          <w:p w14:paraId="5766382B" w14:textId="77777777" w:rsidR="00C8550E" w:rsidRPr="00C8550E" w:rsidRDefault="00C8550E" w:rsidP="00C8550E">
            <w:pPr>
              <w:spacing w:after="0" w:line="240" w:lineRule="auto"/>
              <w:rPr>
                <w:rFonts w:ascii="Calibri" w:eastAsia="Times New Roman" w:hAnsi="Calibri" w:cs="Calibri"/>
                <w:b/>
                <w:bCs/>
                <w:color w:val="000000"/>
                <w:kern w:val="0"/>
                <w:sz w:val="16"/>
                <w:szCs w:val="16"/>
                <w:lang w:eastAsia="es-CO"/>
                <w14:ligatures w14:val="none"/>
              </w:rPr>
            </w:pPr>
            <w:r w:rsidRPr="00C8550E">
              <w:rPr>
                <w:rFonts w:ascii="Calibri" w:eastAsia="Times New Roman" w:hAnsi="Calibri" w:cs="Calibri"/>
                <w:b/>
                <w:bCs/>
                <w:color w:val="000000"/>
                <w:kern w:val="0"/>
                <w:sz w:val="16"/>
                <w:szCs w:val="16"/>
                <w:lang w:eastAsia="es-CO"/>
                <w14:ligatures w14:val="none"/>
              </w:rPr>
              <w:t xml:space="preserve">     2.111.555 </w:t>
            </w:r>
          </w:p>
        </w:tc>
      </w:tr>
    </w:tbl>
    <w:p w14:paraId="5A7DA071" w14:textId="77777777" w:rsidR="00C8550E" w:rsidRPr="003C20C7" w:rsidRDefault="00C8550E" w:rsidP="00C8550E">
      <w:pPr>
        <w:jc w:val="both"/>
        <w:rPr>
          <w:sz w:val="18"/>
          <w:szCs w:val="18"/>
        </w:rPr>
      </w:pPr>
      <w:r w:rsidRPr="003C20C7">
        <w:rPr>
          <w:sz w:val="18"/>
          <w:szCs w:val="18"/>
        </w:rPr>
        <w:t>Fuente: Secretaría Distrital de Salud de Bogotá, Dirección de Planeación Sectorial. Reporte Consulta a RIPS 1</w:t>
      </w:r>
      <w:r w:rsidRPr="00421F39">
        <w:rPr>
          <w:sz w:val="18"/>
          <w:szCs w:val="18"/>
        </w:rPr>
        <w:t>547 modelo de gestantes</w:t>
      </w:r>
      <w:r w:rsidRPr="003C20C7">
        <w:rPr>
          <w:sz w:val="18"/>
          <w:szCs w:val="18"/>
        </w:rPr>
        <w:t xml:space="preserve"> [Conjunto de datos]. Consolidado a partir de </w:t>
      </w:r>
      <w:r w:rsidRPr="00421F39">
        <w:rPr>
          <w:sz w:val="18"/>
          <w:szCs w:val="18"/>
        </w:rPr>
        <w:t xml:space="preserve">Base de datos RIPS SDS2011-2024, población vinculada, desplazada, atenciones no </w:t>
      </w:r>
      <w:proofErr w:type="spellStart"/>
      <w:r w:rsidRPr="00421F39">
        <w:rPr>
          <w:sz w:val="18"/>
          <w:szCs w:val="18"/>
        </w:rPr>
        <w:t>pos</w:t>
      </w:r>
      <w:proofErr w:type="spellEnd"/>
      <w:r w:rsidRPr="00421F39">
        <w:rPr>
          <w:sz w:val="18"/>
          <w:szCs w:val="18"/>
        </w:rPr>
        <w:t xml:space="preserve"> y particulares (Corte de recepción 2024/11/20)</w:t>
      </w:r>
      <w:r w:rsidRPr="003C20C7">
        <w:rPr>
          <w:sz w:val="18"/>
          <w:szCs w:val="18"/>
        </w:rPr>
        <w:t xml:space="preserve"> y </w:t>
      </w:r>
      <w:r w:rsidRPr="00421F39">
        <w:rPr>
          <w:sz w:val="18"/>
          <w:szCs w:val="18"/>
        </w:rPr>
        <w:t>Base de datos RIPS SDS2011-2022, población subsidiada, contributiva, corte recepción 2024/05/31)</w:t>
      </w:r>
    </w:p>
    <w:p w14:paraId="2080EB11" w14:textId="77777777" w:rsidR="00C8550E" w:rsidRDefault="00C8550E" w:rsidP="00C8550E">
      <w:pPr>
        <w:jc w:val="both"/>
        <w:rPr>
          <w:sz w:val="18"/>
          <w:szCs w:val="18"/>
        </w:rPr>
      </w:pPr>
      <w:r w:rsidRPr="00421F39">
        <w:rPr>
          <w:rFonts w:ascii="Cambria Math" w:hAnsi="Cambria Math" w:cs="Cambria Math"/>
          <w:sz w:val="18"/>
          <w:szCs w:val="18"/>
        </w:rPr>
        <w:t>*</w:t>
      </w:r>
      <w:r w:rsidRPr="003C20C7">
        <w:rPr>
          <w:sz w:val="18"/>
          <w:szCs w:val="18"/>
        </w:rPr>
        <w:t xml:space="preserve"> </w:t>
      </w:r>
      <w:r w:rsidRPr="00421F39">
        <w:rPr>
          <w:sz w:val="18"/>
          <w:szCs w:val="18"/>
        </w:rPr>
        <w:t xml:space="preserve">El total de individuos reportados en las columnas no coincide con la sumatoria de los valores reportados en los valores parciales debido a </w:t>
      </w:r>
      <w:r>
        <w:rPr>
          <w:sz w:val="18"/>
          <w:szCs w:val="18"/>
        </w:rPr>
        <w:tab/>
        <w:t>que el</w:t>
      </w:r>
      <w:r w:rsidRPr="00421F39">
        <w:rPr>
          <w:sz w:val="18"/>
          <w:szCs w:val="18"/>
          <w:lang w:val="es-ES"/>
        </w:rPr>
        <w:t xml:space="preserve"> cálculo del total de individuos atendidos se realiza directamente a partir de la consulta de números únicos de identificación encontrados para el periodo de reporte. No es equivalente a la sumatoria de los valores parciales presentados, debido a que una persona en un mismo año puede haber cambiado de grupo de edad, o puede haber sido atendido por más de un prestador de servicios de salud o por más de un régimen de atención.</w:t>
      </w:r>
      <w:r w:rsidRPr="00421F39">
        <w:rPr>
          <w:rFonts w:ascii="Arial" w:hAnsi="Arial" w:cs="Arial"/>
          <w:sz w:val="18"/>
          <w:szCs w:val="18"/>
        </w:rPr>
        <w:t> </w:t>
      </w:r>
      <w:r w:rsidRPr="00724AB2">
        <w:rPr>
          <w:sz w:val="18"/>
          <w:szCs w:val="18"/>
        </w:rPr>
        <w:t> </w:t>
      </w:r>
    </w:p>
    <w:p w14:paraId="0EDE756C" w14:textId="77777777" w:rsidR="00805361" w:rsidRDefault="00805361" w:rsidP="003C20C7">
      <w:pPr>
        <w:jc w:val="both"/>
        <w:rPr>
          <w:b/>
          <w:bCs/>
        </w:rPr>
      </w:pPr>
    </w:p>
    <w:p w14:paraId="1E6D5C45" w14:textId="34FAA6D1" w:rsidR="003C20C7" w:rsidRDefault="00805361" w:rsidP="003C20C7">
      <w:pPr>
        <w:jc w:val="both"/>
        <w:rPr>
          <w:b/>
          <w:bCs/>
        </w:rPr>
      </w:pPr>
      <w:r w:rsidRPr="00805361">
        <w:rPr>
          <w:b/>
          <w:bCs/>
        </w:rPr>
        <w:t>Notas sobre el reporte utilizado para la consulta de Información a RIPS </w:t>
      </w:r>
    </w:p>
    <w:p w14:paraId="15398414" w14:textId="77777777" w:rsidR="00805361" w:rsidRDefault="00805361" w:rsidP="003C20C7">
      <w:pPr>
        <w:jc w:val="both"/>
        <w:rPr>
          <w:b/>
          <w:bCs/>
        </w:rPr>
      </w:pPr>
    </w:p>
    <w:p w14:paraId="37A007F9" w14:textId="77777777" w:rsidR="00805361" w:rsidRPr="00805361" w:rsidRDefault="00805361" w:rsidP="00805361">
      <w:pPr>
        <w:jc w:val="both"/>
      </w:pPr>
      <w:r w:rsidRPr="00805361">
        <w:t>La información de atenciones obtenida a partir de la consulta a los Registros Individuales de Prestación de Servicios RIPS cuenta con unas características que deben ser tenidas en cuenta para su interpretación, las cuales se describen a continuación: </w:t>
      </w:r>
    </w:p>
    <w:p w14:paraId="115E9F58" w14:textId="77777777" w:rsidR="00805361" w:rsidRPr="00805361" w:rsidRDefault="00805361" w:rsidP="00805361">
      <w:pPr>
        <w:numPr>
          <w:ilvl w:val="0"/>
          <w:numId w:val="4"/>
        </w:numPr>
        <w:jc w:val="both"/>
      </w:pPr>
      <w:r w:rsidRPr="00805361">
        <w:t>El sistema de información de los Registros Individuales de Prestación de Servicios de Salud (RIPS), se encuentra reglamentado mediante la Resolución 3374 del 27 de diciembre de 2000; expedida por el Ministerio de Salud y Protección Social; en la cual se establecen, el flujo de información, la periodicidad de reporte y los datos que deben ser reportados de manera obligatoria por los prestadores de servicios de salud.  Por lo anterior, constituye la fuente de referencia para la consulta de las atenciones prestadas en los servicios de salud en todo el territorio nacional. </w:t>
      </w:r>
    </w:p>
    <w:p w14:paraId="7613BC2C" w14:textId="77777777" w:rsidR="00805361" w:rsidRPr="00805361" w:rsidRDefault="00805361" w:rsidP="00805361">
      <w:pPr>
        <w:numPr>
          <w:ilvl w:val="0"/>
          <w:numId w:val="5"/>
        </w:numPr>
        <w:jc w:val="both"/>
      </w:pPr>
      <w:r w:rsidRPr="00805361">
        <w:t>La administración de la información nacional es realizada por el Ministerio de Salud y Protección Social, quienes realizan procesos de validación y disposición de la información para favorecer la consulta; lo cual puede tomar un tiempo variable.  Sin embargo, es importante tener en cuenta que previo a ese proceso de publicación deben cumplirse diferentes plazos y periodos de entrega de la información por parte de los diferentes actores del Sistema de Seguridad Social, los cuales toman como mínimo dos meses vencidos luego de la fecha en la que se prestó el servicio, pudiendo ser mayor para aquellos servicios en los que se requieran procesos adicionales de verificación previo a la aceptación por parte de las EAPB, tales como las atenciones con altos costos.  Al no estar definido un plazo máximo para el reporte de la información es posible que de manera permanente se adicionen registros de meses o años anteriores; por lo cual, siempre se debe tener en cuenta para la interpretación de los datos la fecha en la que se realiza la consulta de la información. </w:t>
      </w:r>
    </w:p>
    <w:p w14:paraId="6E26CF94" w14:textId="77777777" w:rsidR="00805361" w:rsidRPr="00805361" w:rsidRDefault="00805361" w:rsidP="00805361">
      <w:pPr>
        <w:numPr>
          <w:ilvl w:val="0"/>
          <w:numId w:val="6"/>
        </w:numPr>
        <w:jc w:val="both"/>
      </w:pPr>
      <w:r w:rsidRPr="00805361">
        <w:t xml:space="preserve">Las atenciones registradas pueden agruparse por distintas variables, identificando el número total de atenciones e individuos únicos para cada grupo consultado en la base de datos; y a partir de la información actual al momento en el que se realizó la atención.  Así, en ningún caso podrán sumarse los individuos únicos reportados en los </w:t>
      </w:r>
      <w:r w:rsidRPr="00805361">
        <w:lastRenderedPageBreak/>
        <w:t>distintos grupos presentados en el reporte, ya que: un individuo puede ser atendido por la red adscrita como por la red no adscrita en el mismo periodo; un individuo puede acceder a varias atenciones y tener distintos diagnósticos en el periodo; el individuo puede ser atendido por distintos prestadores en el periodo; el individuo puede cambiar de localidad de residencia habitual y ser atendido en más de una de ellas; un individuo puede acceder a distintos tipos de atenciones en el periodo; un individuo puede cambiar de edad y grupo etario en un mismo periodo. </w:t>
      </w:r>
    </w:p>
    <w:p w14:paraId="61F65AAC" w14:textId="33E82447" w:rsidR="00805361" w:rsidRPr="00805361" w:rsidRDefault="00805361" w:rsidP="00805361">
      <w:pPr>
        <w:jc w:val="both"/>
      </w:pPr>
      <w:r w:rsidRPr="00805361">
        <w:t>E</w:t>
      </w:r>
      <w:r w:rsidR="006F7EF3">
        <w:t>l</w:t>
      </w:r>
      <w:r w:rsidRPr="00805361">
        <w:t xml:space="preserve"> reporte </w:t>
      </w:r>
      <w:r w:rsidR="006F7EF3">
        <w:t xml:space="preserve">1547 </w:t>
      </w:r>
      <w:r w:rsidRPr="00805361">
        <w:t xml:space="preserve">cuenta con información correspondiente a los </w:t>
      </w:r>
      <w:r>
        <w:t>años 2022,2023 y corte a 31 de mayo del 2024,</w:t>
      </w:r>
      <w:r w:rsidRPr="00805361">
        <w:t xml:space="preserve"> para la información de los regímenes contributivo y subsidiado, y al </w:t>
      </w:r>
      <w:r>
        <w:t>20</w:t>
      </w:r>
      <w:r w:rsidRPr="00805361">
        <w:t xml:space="preserve"> de </w:t>
      </w:r>
      <w:r>
        <w:t>noviembre</w:t>
      </w:r>
      <w:r w:rsidRPr="00805361">
        <w:t xml:space="preserve"> de 2024 para la información proveniente de las atenciones particulares y a población pobre no afiliada; por lo cual no debe ser tenida en cuenta la información del año 202</w:t>
      </w:r>
      <w:r>
        <w:t>4</w:t>
      </w:r>
      <w:r w:rsidRPr="00805361">
        <w:t xml:space="preserve"> para establecer conclusiones relacionadas con el aumento o reducción de las cifras presentadas. </w:t>
      </w:r>
    </w:p>
    <w:p w14:paraId="1E0915D5" w14:textId="15BA1CC2" w:rsidR="00805361" w:rsidRPr="00805361" w:rsidRDefault="00805361" w:rsidP="003C20C7">
      <w:pPr>
        <w:jc w:val="both"/>
        <w:rPr>
          <w:b/>
          <w:bCs/>
        </w:rPr>
      </w:pPr>
      <w:r>
        <w:rPr>
          <w:b/>
          <w:bCs/>
          <w:noProof/>
        </w:rPr>
        <mc:AlternateContent>
          <mc:Choice Requires="wps">
            <w:drawing>
              <wp:anchor distT="0" distB="0" distL="114300" distR="114300" simplePos="0" relativeHeight="251659264" behindDoc="0" locked="0" layoutInCell="1" allowOverlap="1" wp14:anchorId="2CBDF345" wp14:editId="6C47BEE8">
                <wp:simplePos x="0" y="0"/>
                <wp:positionH relativeFrom="column">
                  <wp:posOffset>-4370</wp:posOffset>
                </wp:positionH>
                <wp:positionV relativeFrom="paragraph">
                  <wp:posOffset>514857</wp:posOffset>
                </wp:positionV>
                <wp:extent cx="5839865" cy="491778"/>
                <wp:effectExtent l="0" t="0" r="27940" b="22860"/>
                <wp:wrapNone/>
                <wp:docPr id="659921303" name="Rectángulo 1"/>
                <wp:cNvGraphicFramePr/>
                <a:graphic xmlns:a="http://schemas.openxmlformats.org/drawingml/2006/main">
                  <a:graphicData uri="http://schemas.microsoft.com/office/word/2010/wordprocessingShape">
                    <wps:wsp>
                      <wps:cNvSpPr/>
                      <wps:spPr>
                        <a:xfrm>
                          <a:off x="0" y="0"/>
                          <a:ext cx="5839865" cy="491778"/>
                        </a:xfrm>
                        <a:prstGeom prst="rect">
                          <a:avLst/>
                        </a:prstGeom>
                      </wps:spPr>
                      <wps:style>
                        <a:lnRef idx="2">
                          <a:schemeClr val="accent1"/>
                        </a:lnRef>
                        <a:fillRef idx="1">
                          <a:schemeClr val="lt1"/>
                        </a:fillRef>
                        <a:effectRef idx="0">
                          <a:schemeClr val="accent1"/>
                        </a:effectRef>
                        <a:fontRef idx="minor">
                          <a:schemeClr val="dk1"/>
                        </a:fontRef>
                      </wps:style>
                      <wps:txbx>
                        <w:txbxContent>
                          <w:p w14:paraId="11433192" w14:textId="503ADAC3" w:rsidR="00805361" w:rsidRDefault="00805361" w:rsidP="00805361">
                            <w:pPr>
                              <w:jc w:val="center"/>
                            </w:pPr>
                            <w:r w:rsidRPr="00805361">
                              <w:rPr>
                                <w:b/>
                                <w:bCs/>
                              </w:rPr>
                              <w:t xml:space="preserve">Informe elaborado por: </w:t>
                            </w:r>
                            <w:r>
                              <w:rPr>
                                <w:b/>
                                <w:bCs/>
                              </w:rPr>
                              <w:t>Adriana Aminta Vásquez Rojas</w:t>
                            </w:r>
                            <w:r w:rsidRPr="00805361">
                              <w:rPr>
                                <w:b/>
                                <w:bCs/>
                              </w:rPr>
                              <w:t xml:space="preserve">; </w:t>
                            </w:r>
                            <w:r>
                              <w:rPr>
                                <w:b/>
                                <w:bCs/>
                              </w:rPr>
                              <w:t>Profesional especializado</w:t>
                            </w:r>
                            <w:r w:rsidRPr="00805361">
                              <w:rPr>
                                <w:b/>
                                <w:bCs/>
                              </w:rPr>
                              <w:t>, Dirección de Planeación Sectorial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BDF345" id="Rectángulo 1" o:spid="_x0000_s1027" style="position:absolute;left:0;text-align:left;margin-left:-.35pt;margin-top:40.55pt;width:459.85pt;height:3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" fillcolor="white [3201]" strokecolor="#5b9bd5 [3204]" strokeweight="1pt">
                <v:textbox>
                  <w:txbxContent>
                    <w:p w14:paraId="11433192" w14:textId="503ADAC3" w:rsidR="00805361" w:rsidRDefault="00805361" w:rsidP="00805361">
                      <w:pPr>
                        <w:jc w:val="center"/>
                      </w:pPr>
                      <w:r w:rsidRPr="00805361">
                        <w:rPr>
                          <w:b/>
                          <w:bCs/>
                        </w:rPr>
                        <w:t xml:space="preserve">Informe elaborado por: </w:t>
                      </w:r>
                      <w:r>
                        <w:rPr>
                          <w:b/>
                          <w:bCs/>
                        </w:rPr>
                        <w:t>Adriana Aminta Vásquez Rojas</w:t>
                      </w:r>
                      <w:r w:rsidRPr="00805361">
                        <w:rPr>
                          <w:b/>
                          <w:bCs/>
                        </w:rPr>
                        <w:t xml:space="preserve">; </w:t>
                      </w:r>
                      <w:r>
                        <w:rPr>
                          <w:b/>
                          <w:bCs/>
                        </w:rPr>
                        <w:t>Profesional especializado</w:t>
                      </w:r>
                      <w:r w:rsidRPr="00805361">
                        <w:rPr>
                          <w:b/>
                          <w:bCs/>
                        </w:rPr>
                        <w:t>, Dirección de Planeación Sectorial</w:t>
                      </w:r>
                    </w:p>
                  </w:txbxContent>
                </v:textbox>
              </v:rect>
            </w:pict>
          </mc:Fallback>
        </mc:AlternateContent>
      </w:r>
    </w:p>
    <w:sectPr w:rsidR="00805361" w:rsidRPr="0080536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5995"/>
    <w:multiLevelType w:val="multilevel"/>
    <w:tmpl w:val="D8C8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8C25E6"/>
    <w:multiLevelType w:val="multilevel"/>
    <w:tmpl w:val="3078E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5110F7"/>
    <w:multiLevelType w:val="multilevel"/>
    <w:tmpl w:val="2D126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EF5FA0"/>
    <w:multiLevelType w:val="multilevel"/>
    <w:tmpl w:val="969E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0B2E91"/>
    <w:multiLevelType w:val="multilevel"/>
    <w:tmpl w:val="4EC2F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6D32FDE"/>
    <w:multiLevelType w:val="multilevel"/>
    <w:tmpl w:val="2D687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6806429">
    <w:abstractNumId w:val="0"/>
  </w:num>
  <w:num w:numId="2" w16cid:durableId="1794670247">
    <w:abstractNumId w:val="4"/>
  </w:num>
  <w:num w:numId="3" w16cid:durableId="64305266">
    <w:abstractNumId w:val="1"/>
  </w:num>
  <w:num w:numId="4" w16cid:durableId="2140762270">
    <w:abstractNumId w:val="3"/>
  </w:num>
  <w:num w:numId="5" w16cid:durableId="18625787">
    <w:abstractNumId w:val="2"/>
  </w:num>
  <w:num w:numId="6" w16cid:durableId="16165189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0C7"/>
    <w:rsid w:val="000C76B8"/>
    <w:rsid w:val="00170AF5"/>
    <w:rsid w:val="0035430D"/>
    <w:rsid w:val="003C20C7"/>
    <w:rsid w:val="00421F39"/>
    <w:rsid w:val="00465392"/>
    <w:rsid w:val="0054533B"/>
    <w:rsid w:val="006C5B1D"/>
    <w:rsid w:val="006F7EF3"/>
    <w:rsid w:val="00724AB2"/>
    <w:rsid w:val="00765BEF"/>
    <w:rsid w:val="00805361"/>
    <w:rsid w:val="00837857"/>
    <w:rsid w:val="008603F2"/>
    <w:rsid w:val="00A132AD"/>
    <w:rsid w:val="00A87747"/>
    <w:rsid w:val="00B90E5D"/>
    <w:rsid w:val="00BA798C"/>
    <w:rsid w:val="00C8550E"/>
    <w:rsid w:val="00C95ECA"/>
    <w:rsid w:val="00DF6D68"/>
    <w:rsid w:val="00E008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62A8F"/>
  <w15:chartTrackingRefBased/>
  <w15:docId w15:val="{4DD8EC8E-DD5C-45C4-BFF1-A2765F4B0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C20C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3C20C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3C20C7"/>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3C20C7"/>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3C20C7"/>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3C20C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C20C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C20C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C20C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C20C7"/>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3C20C7"/>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3C20C7"/>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3C20C7"/>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3C20C7"/>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3C20C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C20C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C20C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C20C7"/>
    <w:rPr>
      <w:rFonts w:eastAsiaTheme="majorEastAsia" w:cstheme="majorBidi"/>
      <w:color w:val="272727" w:themeColor="text1" w:themeTint="D8"/>
    </w:rPr>
  </w:style>
  <w:style w:type="paragraph" w:styleId="Ttulo">
    <w:name w:val="Title"/>
    <w:basedOn w:val="Normal"/>
    <w:next w:val="Normal"/>
    <w:link w:val="TtuloCar"/>
    <w:uiPriority w:val="10"/>
    <w:qFormat/>
    <w:rsid w:val="003C20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C20C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C20C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C20C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C20C7"/>
    <w:pPr>
      <w:spacing w:before="160"/>
      <w:jc w:val="center"/>
    </w:pPr>
    <w:rPr>
      <w:i/>
      <w:iCs/>
      <w:color w:val="404040" w:themeColor="text1" w:themeTint="BF"/>
    </w:rPr>
  </w:style>
  <w:style w:type="character" w:customStyle="1" w:styleId="CitaCar">
    <w:name w:val="Cita Car"/>
    <w:basedOn w:val="Fuentedeprrafopredeter"/>
    <w:link w:val="Cita"/>
    <w:uiPriority w:val="29"/>
    <w:rsid w:val="003C20C7"/>
    <w:rPr>
      <w:i/>
      <w:iCs/>
      <w:color w:val="404040" w:themeColor="text1" w:themeTint="BF"/>
    </w:rPr>
  </w:style>
  <w:style w:type="paragraph" w:styleId="Prrafodelista">
    <w:name w:val="List Paragraph"/>
    <w:basedOn w:val="Normal"/>
    <w:uiPriority w:val="34"/>
    <w:qFormat/>
    <w:rsid w:val="003C20C7"/>
    <w:pPr>
      <w:ind w:left="720"/>
      <w:contextualSpacing/>
    </w:pPr>
  </w:style>
  <w:style w:type="character" w:styleId="nfasisintenso">
    <w:name w:val="Intense Emphasis"/>
    <w:basedOn w:val="Fuentedeprrafopredeter"/>
    <w:uiPriority w:val="21"/>
    <w:qFormat/>
    <w:rsid w:val="003C20C7"/>
    <w:rPr>
      <w:i/>
      <w:iCs/>
      <w:color w:val="2E74B5" w:themeColor="accent1" w:themeShade="BF"/>
    </w:rPr>
  </w:style>
  <w:style w:type="paragraph" w:styleId="Citadestacada">
    <w:name w:val="Intense Quote"/>
    <w:basedOn w:val="Normal"/>
    <w:next w:val="Normal"/>
    <w:link w:val="CitadestacadaCar"/>
    <w:uiPriority w:val="30"/>
    <w:qFormat/>
    <w:rsid w:val="003C20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3C20C7"/>
    <w:rPr>
      <w:i/>
      <w:iCs/>
      <w:color w:val="2E74B5" w:themeColor="accent1" w:themeShade="BF"/>
    </w:rPr>
  </w:style>
  <w:style w:type="character" w:styleId="Referenciaintensa">
    <w:name w:val="Intense Reference"/>
    <w:basedOn w:val="Fuentedeprrafopredeter"/>
    <w:uiPriority w:val="32"/>
    <w:qFormat/>
    <w:rsid w:val="003C20C7"/>
    <w:rPr>
      <w:b/>
      <w:bCs/>
      <w:smallCaps/>
      <w:color w:val="2E74B5" w:themeColor="accent1" w:themeShade="BF"/>
      <w:spacing w:val="5"/>
    </w:rPr>
  </w:style>
  <w:style w:type="paragraph" w:styleId="Descripcin">
    <w:name w:val="caption"/>
    <w:basedOn w:val="Normal"/>
    <w:next w:val="Normal"/>
    <w:uiPriority w:val="35"/>
    <w:unhideWhenUsed/>
    <w:qFormat/>
    <w:rsid w:val="0035430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3541">
      <w:bodyDiv w:val="1"/>
      <w:marLeft w:val="0"/>
      <w:marRight w:val="0"/>
      <w:marTop w:val="0"/>
      <w:marBottom w:val="0"/>
      <w:divBdr>
        <w:top w:val="none" w:sz="0" w:space="0" w:color="auto"/>
        <w:left w:val="none" w:sz="0" w:space="0" w:color="auto"/>
        <w:bottom w:val="none" w:sz="0" w:space="0" w:color="auto"/>
        <w:right w:val="none" w:sz="0" w:space="0" w:color="auto"/>
      </w:divBdr>
      <w:divsChild>
        <w:div w:id="435251214">
          <w:marLeft w:val="0"/>
          <w:marRight w:val="0"/>
          <w:marTop w:val="0"/>
          <w:marBottom w:val="0"/>
          <w:divBdr>
            <w:top w:val="none" w:sz="0" w:space="0" w:color="auto"/>
            <w:left w:val="none" w:sz="0" w:space="0" w:color="auto"/>
            <w:bottom w:val="none" w:sz="0" w:space="0" w:color="auto"/>
            <w:right w:val="none" w:sz="0" w:space="0" w:color="auto"/>
          </w:divBdr>
        </w:div>
        <w:div w:id="2011986734">
          <w:marLeft w:val="0"/>
          <w:marRight w:val="0"/>
          <w:marTop w:val="0"/>
          <w:marBottom w:val="0"/>
          <w:divBdr>
            <w:top w:val="none" w:sz="0" w:space="0" w:color="auto"/>
            <w:left w:val="none" w:sz="0" w:space="0" w:color="auto"/>
            <w:bottom w:val="none" w:sz="0" w:space="0" w:color="auto"/>
            <w:right w:val="none" w:sz="0" w:space="0" w:color="auto"/>
          </w:divBdr>
        </w:div>
        <w:div w:id="748430002">
          <w:marLeft w:val="0"/>
          <w:marRight w:val="0"/>
          <w:marTop w:val="0"/>
          <w:marBottom w:val="0"/>
          <w:divBdr>
            <w:top w:val="none" w:sz="0" w:space="0" w:color="auto"/>
            <w:left w:val="none" w:sz="0" w:space="0" w:color="auto"/>
            <w:bottom w:val="none" w:sz="0" w:space="0" w:color="auto"/>
            <w:right w:val="none" w:sz="0" w:space="0" w:color="auto"/>
          </w:divBdr>
        </w:div>
        <w:div w:id="641279298">
          <w:marLeft w:val="0"/>
          <w:marRight w:val="0"/>
          <w:marTop w:val="0"/>
          <w:marBottom w:val="0"/>
          <w:divBdr>
            <w:top w:val="none" w:sz="0" w:space="0" w:color="auto"/>
            <w:left w:val="none" w:sz="0" w:space="0" w:color="auto"/>
            <w:bottom w:val="none" w:sz="0" w:space="0" w:color="auto"/>
            <w:right w:val="none" w:sz="0" w:space="0" w:color="auto"/>
          </w:divBdr>
        </w:div>
        <w:div w:id="1479498848">
          <w:marLeft w:val="0"/>
          <w:marRight w:val="0"/>
          <w:marTop w:val="0"/>
          <w:marBottom w:val="0"/>
          <w:divBdr>
            <w:top w:val="none" w:sz="0" w:space="0" w:color="auto"/>
            <w:left w:val="none" w:sz="0" w:space="0" w:color="auto"/>
            <w:bottom w:val="none" w:sz="0" w:space="0" w:color="auto"/>
            <w:right w:val="none" w:sz="0" w:space="0" w:color="auto"/>
          </w:divBdr>
        </w:div>
      </w:divsChild>
    </w:div>
    <w:div w:id="141970434">
      <w:bodyDiv w:val="1"/>
      <w:marLeft w:val="0"/>
      <w:marRight w:val="0"/>
      <w:marTop w:val="0"/>
      <w:marBottom w:val="0"/>
      <w:divBdr>
        <w:top w:val="none" w:sz="0" w:space="0" w:color="auto"/>
        <w:left w:val="none" w:sz="0" w:space="0" w:color="auto"/>
        <w:bottom w:val="none" w:sz="0" w:space="0" w:color="auto"/>
        <w:right w:val="none" w:sz="0" w:space="0" w:color="auto"/>
      </w:divBdr>
      <w:divsChild>
        <w:div w:id="442656197">
          <w:marLeft w:val="0"/>
          <w:marRight w:val="0"/>
          <w:marTop w:val="0"/>
          <w:marBottom w:val="0"/>
          <w:divBdr>
            <w:top w:val="none" w:sz="0" w:space="0" w:color="auto"/>
            <w:left w:val="none" w:sz="0" w:space="0" w:color="auto"/>
            <w:bottom w:val="none" w:sz="0" w:space="0" w:color="auto"/>
            <w:right w:val="none" w:sz="0" w:space="0" w:color="auto"/>
          </w:divBdr>
        </w:div>
        <w:div w:id="1724056042">
          <w:marLeft w:val="0"/>
          <w:marRight w:val="0"/>
          <w:marTop w:val="0"/>
          <w:marBottom w:val="0"/>
          <w:divBdr>
            <w:top w:val="none" w:sz="0" w:space="0" w:color="auto"/>
            <w:left w:val="none" w:sz="0" w:space="0" w:color="auto"/>
            <w:bottom w:val="none" w:sz="0" w:space="0" w:color="auto"/>
            <w:right w:val="none" w:sz="0" w:space="0" w:color="auto"/>
          </w:divBdr>
        </w:div>
      </w:divsChild>
    </w:div>
    <w:div w:id="190606923">
      <w:bodyDiv w:val="1"/>
      <w:marLeft w:val="0"/>
      <w:marRight w:val="0"/>
      <w:marTop w:val="0"/>
      <w:marBottom w:val="0"/>
      <w:divBdr>
        <w:top w:val="none" w:sz="0" w:space="0" w:color="auto"/>
        <w:left w:val="none" w:sz="0" w:space="0" w:color="auto"/>
        <w:bottom w:val="none" w:sz="0" w:space="0" w:color="auto"/>
        <w:right w:val="none" w:sz="0" w:space="0" w:color="auto"/>
      </w:divBdr>
      <w:divsChild>
        <w:div w:id="431556516">
          <w:marLeft w:val="0"/>
          <w:marRight w:val="0"/>
          <w:marTop w:val="0"/>
          <w:marBottom w:val="0"/>
          <w:divBdr>
            <w:top w:val="none" w:sz="0" w:space="0" w:color="auto"/>
            <w:left w:val="none" w:sz="0" w:space="0" w:color="auto"/>
            <w:bottom w:val="none" w:sz="0" w:space="0" w:color="auto"/>
            <w:right w:val="none" w:sz="0" w:space="0" w:color="auto"/>
          </w:divBdr>
        </w:div>
        <w:div w:id="744760159">
          <w:marLeft w:val="0"/>
          <w:marRight w:val="0"/>
          <w:marTop w:val="0"/>
          <w:marBottom w:val="0"/>
          <w:divBdr>
            <w:top w:val="none" w:sz="0" w:space="0" w:color="auto"/>
            <w:left w:val="none" w:sz="0" w:space="0" w:color="auto"/>
            <w:bottom w:val="none" w:sz="0" w:space="0" w:color="auto"/>
            <w:right w:val="none" w:sz="0" w:space="0" w:color="auto"/>
          </w:divBdr>
        </w:div>
      </w:divsChild>
    </w:div>
    <w:div w:id="392628926">
      <w:bodyDiv w:val="1"/>
      <w:marLeft w:val="0"/>
      <w:marRight w:val="0"/>
      <w:marTop w:val="0"/>
      <w:marBottom w:val="0"/>
      <w:divBdr>
        <w:top w:val="none" w:sz="0" w:space="0" w:color="auto"/>
        <w:left w:val="none" w:sz="0" w:space="0" w:color="auto"/>
        <w:bottom w:val="none" w:sz="0" w:space="0" w:color="auto"/>
        <w:right w:val="none" w:sz="0" w:space="0" w:color="auto"/>
      </w:divBdr>
      <w:divsChild>
        <w:div w:id="897394867">
          <w:marLeft w:val="0"/>
          <w:marRight w:val="0"/>
          <w:marTop w:val="0"/>
          <w:marBottom w:val="0"/>
          <w:divBdr>
            <w:top w:val="none" w:sz="0" w:space="0" w:color="auto"/>
            <w:left w:val="none" w:sz="0" w:space="0" w:color="auto"/>
            <w:bottom w:val="none" w:sz="0" w:space="0" w:color="auto"/>
            <w:right w:val="none" w:sz="0" w:space="0" w:color="auto"/>
          </w:divBdr>
        </w:div>
        <w:div w:id="802771084">
          <w:marLeft w:val="0"/>
          <w:marRight w:val="0"/>
          <w:marTop w:val="0"/>
          <w:marBottom w:val="0"/>
          <w:divBdr>
            <w:top w:val="none" w:sz="0" w:space="0" w:color="auto"/>
            <w:left w:val="none" w:sz="0" w:space="0" w:color="auto"/>
            <w:bottom w:val="none" w:sz="0" w:space="0" w:color="auto"/>
            <w:right w:val="none" w:sz="0" w:space="0" w:color="auto"/>
          </w:divBdr>
          <w:divsChild>
            <w:div w:id="1012948469">
              <w:marLeft w:val="-75"/>
              <w:marRight w:val="0"/>
              <w:marTop w:val="30"/>
              <w:marBottom w:val="30"/>
              <w:divBdr>
                <w:top w:val="none" w:sz="0" w:space="0" w:color="auto"/>
                <w:left w:val="none" w:sz="0" w:space="0" w:color="auto"/>
                <w:bottom w:val="none" w:sz="0" w:space="0" w:color="auto"/>
                <w:right w:val="none" w:sz="0" w:space="0" w:color="auto"/>
              </w:divBdr>
              <w:divsChild>
                <w:div w:id="959338877">
                  <w:marLeft w:val="0"/>
                  <w:marRight w:val="0"/>
                  <w:marTop w:val="0"/>
                  <w:marBottom w:val="0"/>
                  <w:divBdr>
                    <w:top w:val="none" w:sz="0" w:space="0" w:color="auto"/>
                    <w:left w:val="none" w:sz="0" w:space="0" w:color="auto"/>
                    <w:bottom w:val="none" w:sz="0" w:space="0" w:color="auto"/>
                    <w:right w:val="none" w:sz="0" w:space="0" w:color="auto"/>
                  </w:divBdr>
                  <w:divsChild>
                    <w:div w:id="1853647280">
                      <w:marLeft w:val="0"/>
                      <w:marRight w:val="0"/>
                      <w:marTop w:val="0"/>
                      <w:marBottom w:val="0"/>
                      <w:divBdr>
                        <w:top w:val="none" w:sz="0" w:space="0" w:color="auto"/>
                        <w:left w:val="none" w:sz="0" w:space="0" w:color="auto"/>
                        <w:bottom w:val="none" w:sz="0" w:space="0" w:color="auto"/>
                        <w:right w:val="none" w:sz="0" w:space="0" w:color="auto"/>
                      </w:divBdr>
                    </w:div>
                  </w:divsChild>
                </w:div>
                <w:div w:id="1782452410">
                  <w:marLeft w:val="0"/>
                  <w:marRight w:val="0"/>
                  <w:marTop w:val="0"/>
                  <w:marBottom w:val="0"/>
                  <w:divBdr>
                    <w:top w:val="none" w:sz="0" w:space="0" w:color="auto"/>
                    <w:left w:val="none" w:sz="0" w:space="0" w:color="auto"/>
                    <w:bottom w:val="none" w:sz="0" w:space="0" w:color="auto"/>
                    <w:right w:val="none" w:sz="0" w:space="0" w:color="auto"/>
                  </w:divBdr>
                  <w:divsChild>
                    <w:div w:id="1061636524">
                      <w:marLeft w:val="0"/>
                      <w:marRight w:val="0"/>
                      <w:marTop w:val="0"/>
                      <w:marBottom w:val="0"/>
                      <w:divBdr>
                        <w:top w:val="none" w:sz="0" w:space="0" w:color="auto"/>
                        <w:left w:val="none" w:sz="0" w:space="0" w:color="auto"/>
                        <w:bottom w:val="none" w:sz="0" w:space="0" w:color="auto"/>
                        <w:right w:val="none" w:sz="0" w:space="0" w:color="auto"/>
                      </w:divBdr>
                    </w:div>
                  </w:divsChild>
                </w:div>
                <w:div w:id="2030716436">
                  <w:marLeft w:val="0"/>
                  <w:marRight w:val="0"/>
                  <w:marTop w:val="0"/>
                  <w:marBottom w:val="0"/>
                  <w:divBdr>
                    <w:top w:val="none" w:sz="0" w:space="0" w:color="auto"/>
                    <w:left w:val="none" w:sz="0" w:space="0" w:color="auto"/>
                    <w:bottom w:val="none" w:sz="0" w:space="0" w:color="auto"/>
                    <w:right w:val="none" w:sz="0" w:space="0" w:color="auto"/>
                  </w:divBdr>
                  <w:divsChild>
                    <w:div w:id="1117915990">
                      <w:marLeft w:val="0"/>
                      <w:marRight w:val="0"/>
                      <w:marTop w:val="0"/>
                      <w:marBottom w:val="0"/>
                      <w:divBdr>
                        <w:top w:val="none" w:sz="0" w:space="0" w:color="auto"/>
                        <w:left w:val="none" w:sz="0" w:space="0" w:color="auto"/>
                        <w:bottom w:val="none" w:sz="0" w:space="0" w:color="auto"/>
                        <w:right w:val="none" w:sz="0" w:space="0" w:color="auto"/>
                      </w:divBdr>
                    </w:div>
                  </w:divsChild>
                </w:div>
                <w:div w:id="2079476720">
                  <w:marLeft w:val="0"/>
                  <w:marRight w:val="0"/>
                  <w:marTop w:val="0"/>
                  <w:marBottom w:val="0"/>
                  <w:divBdr>
                    <w:top w:val="none" w:sz="0" w:space="0" w:color="auto"/>
                    <w:left w:val="none" w:sz="0" w:space="0" w:color="auto"/>
                    <w:bottom w:val="none" w:sz="0" w:space="0" w:color="auto"/>
                    <w:right w:val="none" w:sz="0" w:space="0" w:color="auto"/>
                  </w:divBdr>
                  <w:divsChild>
                    <w:div w:id="316154225">
                      <w:marLeft w:val="0"/>
                      <w:marRight w:val="0"/>
                      <w:marTop w:val="0"/>
                      <w:marBottom w:val="0"/>
                      <w:divBdr>
                        <w:top w:val="none" w:sz="0" w:space="0" w:color="auto"/>
                        <w:left w:val="none" w:sz="0" w:space="0" w:color="auto"/>
                        <w:bottom w:val="none" w:sz="0" w:space="0" w:color="auto"/>
                        <w:right w:val="none" w:sz="0" w:space="0" w:color="auto"/>
                      </w:divBdr>
                    </w:div>
                  </w:divsChild>
                </w:div>
                <w:div w:id="2125880334">
                  <w:marLeft w:val="0"/>
                  <w:marRight w:val="0"/>
                  <w:marTop w:val="0"/>
                  <w:marBottom w:val="0"/>
                  <w:divBdr>
                    <w:top w:val="none" w:sz="0" w:space="0" w:color="auto"/>
                    <w:left w:val="none" w:sz="0" w:space="0" w:color="auto"/>
                    <w:bottom w:val="none" w:sz="0" w:space="0" w:color="auto"/>
                    <w:right w:val="none" w:sz="0" w:space="0" w:color="auto"/>
                  </w:divBdr>
                  <w:divsChild>
                    <w:div w:id="1374037912">
                      <w:marLeft w:val="0"/>
                      <w:marRight w:val="0"/>
                      <w:marTop w:val="0"/>
                      <w:marBottom w:val="0"/>
                      <w:divBdr>
                        <w:top w:val="none" w:sz="0" w:space="0" w:color="auto"/>
                        <w:left w:val="none" w:sz="0" w:space="0" w:color="auto"/>
                        <w:bottom w:val="none" w:sz="0" w:space="0" w:color="auto"/>
                        <w:right w:val="none" w:sz="0" w:space="0" w:color="auto"/>
                      </w:divBdr>
                    </w:div>
                  </w:divsChild>
                </w:div>
                <w:div w:id="892274380">
                  <w:marLeft w:val="0"/>
                  <w:marRight w:val="0"/>
                  <w:marTop w:val="0"/>
                  <w:marBottom w:val="0"/>
                  <w:divBdr>
                    <w:top w:val="none" w:sz="0" w:space="0" w:color="auto"/>
                    <w:left w:val="none" w:sz="0" w:space="0" w:color="auto"/>
                    <w:bottom w:val="none" w:sz="0" w:space="0" w:color="auto"/>
                    <w:right w:val="none" w:sz="0" w:space="0" w:color="auto"/>
                  </w:divBdr>
                  <w:divsChild>
                    <w:div w:id="711613768">
                      <w:marLeft w:val="0"/>
                      <w:marRight w:val="0"/>
                      <w:marTop w:val="0"/>
                      <w:marBottom w:val="0"/>
                      <w:divBdr>
                        <w:top w:val="none" w:sz="0" w:space="0" w:color="auto"/>
                        <w:left w:val="none" w:sz="0" w:space="0" w:color="auto"/>
                        <w:bottom w:val="none" w:sz="0" w:space="0" w:color="auto"/>
                        <w:right w:val="none" w:sz="0" w:space="0" w:color="auto"/>
                      </w:divBdr>
                    </w:div>
                  </w:divsChild>
                </w:div>
                <w:div w:id="1286236158">
                  <w:marLeft w:val="0"/>
                  <w:marRight w:val="0"/>
                  <w:marTop w:val="0"/>
                  <w:marBottom w:val="0"/>
                  <w:divBdr>
                    <w:top w:val="none" w:sz="0" w:space="0" w:color="auto"/>
                    <w:left w:val="none" w:sz="0" w:space="0" w:color="auto"/>
                    <w:bottom w:val="none" w:sz="0" w:space="0" w:color="auto"/>
                    <w:right w:val="none" w:sz="0" w:space="0" w:color="auto"/>
                  </w:divBdr>
                  <w:divsChild>
                    <w:div w:id="1085567856">
                      <w:marLeft w:val="0"/>
                      <w:marRight w:val="0"/>
                      <w:marTop w:val="0"/>
                      <w:marBottom w:val="0"/>
                      <w:divBdr>
                        <w:top w:val="none" w:sz="0" w:space="0" w:color="auto"/>
                        <w:left w:val="none" w:sz="0" w:space="0" w:color="auto"/>
                        <w:bottom w:val="none" w:sz="0" w:space="0" w:color="auto"/>
                        <w:right w:val="none" w:sz="0" w:space="0" w:color="auto"/>
                      </w:divBdr>
                    </w:div>
                  </w:divsChild>
                </w:div>
                <w:div w:id="1970667914">
                  <w:marLeft w:val="0"/>
                  <w:marRight w:val="0"/>
                  <w:marTop w:val="0"/>
                  <w:marBottom w:val="0"/>
                  <w:divBdr>
                    <w:top w:val="none" w:sz="0" w:space="0" w:color="auto"/>
                    <w:left w:val="none" w:sz="0" w:space="0" w:color="auto"/>
                    <w:bottom w:val="none" w:sz="0" w:space="0" w:color="auto"/>
                    <w:right w:val="none" w:sz="0" w:space="0" w:color="auto"/>
                  </w:divBdr>
                  <w:divsChild>
                    <w:div w:id="445974758">
                      <w:marLeft w:val="0"/>
                      <w:marRight w:val="0"/>
                      <w:marTop w:val="0"/>
                      <w:marBottom w:val="0"/>
                      <w:divBdr>
                        <w:top w:val="none" w:sz="0" w:space="0" w:color="auto"/>
                        <w:left w:val="none" w:sz="0" w:space="0" w:color="auto"/>
                        <w:bottom w:val="none" w:sz="0" w:space="0" w:color="auto"/>
                        <w:right w:val="none" w:sz="0" w:space="0" w:color="auto"/>
                      </w:divBdr>
                    </w:div>
                  </w:divsChild>
                </w:div>
                <w:div w:id="1224223054">
                  <w:marLeft w:val="0"/>
                  <w:marRight w:val="0"/>
                  <w:marTop w:val="0"/>
                  <w:marBottom w:val="0"/>
                  <w:divBdr>
                    <w:top w:val="none" w:sz="0" w:space="0" w:color="auto"/>
                    <w:left w:val="none" w:sz="0" w:space="0" w:color="auto"/>
                    <w:bottom w:val="none" w:sz="0" w:space="0" w:color="auto"/>
                    <w:right w:val="none" w:sz="0" w:space="0" w:color="auto"/>
                  </w:divBdr>
                  <w:divsChild>
                    <w:div w:id="264963191">
                      <w:marLeft w:val="0"/>
                      <w:marRight w:val="0"/>
                      <w:marTop w:val="0"/>
                      <w:marBottom w:val="0"/>
                      <w:divBdr>
                        <w:top w:val="none" w:sz="0" w:space="0" w:color="auto"/>
                        <w:left w:val="none" w:sz="0" w:space="0" w:color="auto"/>
                        <w:bottom w:val="none" w:sz="0" w:space="0" w:color="auto"/>
                        <w:right w:val="none" w:sz="0" w:space="0" w:color="auto"/>
                      </w:divBdr>
                    </w:div>
                  </w:divsChild>
                </w:div>
                <w:div w:id="1833910042">
                  <w:marLeft w:val="0"/>
                  <w:marRight w:val="0"/>
                  <w:marTop w:val="0"/>
                  <w:marBottom w:val="0"/>
                  <w:divBdr>
                    <w:top w:val="none" w:sz="0" w:space="0" w:color="auto"/>
                    <w:left w:val="none" w:sz="0" w:space="0" w:color="auto"/>
                    <w:bottom w:val="none" w:sz="0" w:space="0" w:color="auto"/>
                    <w:right w:val="none" w:sz="0" w:space="0" w:color="auto"/>
                  </w:divBdr>
                  <w:divsChild>
                    <w:div w:id="73323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786689">
          <w:marLeft w:val="0"/>
          <w:marRight w:val="0"/>
          <w:marTop w:val="0"/>
          <w:marBottom w:val="0"/>
          <w:divBdr>
            <w:top w:val="none" w:sz="0" w:space="0" w:color="auto"/>
            <w:left w:val="none" w:sz="0" w:space="0" w:color="auto"/>
            <w:bottom w:val="none" w:sz="0" w:space="0" w:color="auto"/>
            <w:right w:val="none" w:sz="0" w:space="0" w:color="auto"/>
          </w:divBdr>
        </w:div>
        <w:div w:id="98109171">
          <w:marLeft w:val="0"/>
          <w:marRight w:val="0"/>
          <w:marTop w:val="0"/>
          <w:marBottom w:val="0"/>
          <w:divBdr>
            <w:top w:val="none" w:sz="0" w:space="0" w:color="auto"/>
            <w:left w:val="none" w:sz="0" w:space="0" w:color="auto"/>
            <w:bottom w:val="none" w:sz="0" w:space="0" w:color="auto"/>
            <w:right w:val="none" w:sz="0" w:space="0" w:color="auto"/>
          </w:divBdr>
        </w:div>
      </w:divsChild>
    </w:div>
    <w:div w:id="717777847">
      <w:bodyDiv w:val="1"/>
      <w:marLeft w:val="0"/>
      <w:marRight w:val="0"/>
      <w:marTop w:val="0"/>
      <w:marBottom w:val="0"/>
      <w:divBdr>
        <w:top w:val="none" w:sz="0" w:space="0" w:color="auto"/>
        <w:left w:val="none" w:sz="0" w:space="0" w:color="auto"/>
        <w:bottom w:val="none" w:sz="0" w:space="0" w:color="auto"/>
        <w:right w:val="none" w:sz="0" w:space="0" w:color="auto"/>
      </w:divBdr>
    </w:div>
    <w:div w:id="935945731">
      <w:bodyDiv w:val="1"/>
      <w:marLeft w:val="0"/>
      <w:marRight w:val="0"/>
      <w:marTop w:val="0"/>
      <w:marBottom w:val="0"/>
      <w:divBdr>
        <w:top w:val="none" w:sz="0" w:space="0" w:color="auto"/>
        <w:left w:val="none" w:sz="0" w:space="0" w:color="auto"/>
        <w:bottom w:val="none" w:sz="0" w:space="0" w:color="auto"/>
        <w:right w:val="none" w:sz="0" w:space="0" w:color="auto"/>
      </w:divBdr>
      <w:divsChild>
        <w:div w:id="801995120">
          <w:marLeft w:val="0"/>
          <w:marRight w:val="0"/>
          <w:marTop w:val="0"/>
          <w:marBottom w:val="0"/>
          <w:divBdr>
            <w:top w:val="none" w:sz="0" w:space="0" w:color="auto"/>
            <w:left w:val="none" w:sz="0" w:space="0" w:color="auto"/>
            <w:bottom w:val="none" w:sz="0" w:space="0" w:color="auto"/>
            <w:right w:val="none" w:sz="0" w:space="0" w:color="auto"/>
          </w:divBdr>
        </w:div>
        <w:div w:id="583345233">
          <w:marLeft w:val="0"/>
          <w:marRight w:val="0"/>
          <w:marTop w:val="0"/>
          <w:marBottom w:val="0"/>
          <w:divBdr>
            <w:top w:val="none" w:sz="0" w:space="0" w:color="auto"/>
            <w:left w:val="none" w:sz="0" w:space="0" w:color="auto"/>
            <w:bottom w:val="none" w:sz="0" w:space="0" w:color="auto"/>
            <w:right w:val="none" w:sz="0" w:space="0" w:color="auto"/>
          </w:divBdr>
        </w:div>
        <w:div w:id="161706522">
          <w:marLeft w:val="0"/>
          <w:marRight w:val="0"/>
          <w:marTop w:val="0"/>
          <w:marBottom w:val="0"/>
          <w:divBdr>
            <w:top w:val="none" w:sz="0" w:space="0" w:color="auto"/>
            <w:left w:val="none" w:sz="0" w:space="0" w:color="auto"/>
            <w:bottom w:val="none" w:sz="0" w:space="0" w:color="auto"/>
            <w:right w:val="none" w:sz="0" w:space="0" w:color="auto"/>
          </w:divBdr>
        </w:div>
        <w:div w:id="1252664344">
          <w:marLeft w:val="0"/>
          <w:marRight w:val="0"/>
          <w:marTop w:val="0"/>
          <w:marBottom w:val="0"/>
          <w:divBdr>
            <w:top w:val="none" w:sz="0" w:space="0" w:color="auto"/>
            <w:left w:val="none" w:sz="0" w:space="0" w:color="auto"/>
            <w:bottom w:val="none" w:sz="0" w:space="0" w:color="auto"/>
            <w:right w:val="none" w:sz="0" w:space="0" w:color="auto"/>
          </w:divBdr>
        </w:div>
        <w:div w:id="775637989">
          <w:marLeft w:val="0"/>
          <w:marRight w:val="0"/>
          <w:marTop w:val="0"/>
          <w:marBottom w:val="0"/>
          <w:divBdr>
            <w:top w:val="none" w:sz="0" w:space="0" w:color="auto"/>
            <w:left w:val="none" w:sz="0" w:space="0" w:color="auto"/>
            <w:bottom w:val="none" w:sz="0" w:space="0" w:color="auto"/>
            <w:right w:val="none" w:sz="0" w:space="0" w:color="auto"/>
          </w:divBdr>
        </w:div>
      </w:divsChild>
    </w:div>
    <w:div w:id="1045564818">
      <w:bodyDiv w:val="1"/>
      <w:marLeft w:val="0"/>
      <w:marRight w:val="0"/>
      <w:marTop w:val="0"/>
      <w:marBottom w:val="0"/>
      <w:divBdr>
        <w:top w:val="none" w:sz="0" w:space="0" w:color="auto"/>
        <w:left w:val="none" w:sz="0" w:space="0" w:color="auto"/>
        <w:bottom w:val="none" w:sz="0" w:space="0" w:color="auto"/>
        <w:right w:val="none" w:sz="0" w:space="0" w:color="auto"/>
      </w:divBdr>
      <w:divsChild>
        <w:div w:id="887882523">
          <w:marLeft w:val="0"/>
          <w:marRight w:val="0"/>
          <w:marTop w:val="0"/>
          <w:marBottom w:val="0"/>
          <w:divBdr>
            <w:top w:val="none" w:sz="0" w:space="0" w:color="auto"/>
            <w:left w:val="none" w:sz="0" w:space="0" w:color="auto"/>
            <w:bottom w:val="none" w:sz="0" w:space="0" w:color="auto"/>
            <w:right w:val="none" w:sz="0" w:space="0" w:color="auto"/>
          </w:divBdr>
        </w:div>
        <w:div w:id="462240143">
          <w:marLeft w:val="0"/>
          <w:marRight w:val="0"/>
          <w:marTop w:val="0"/>
          <w:marBottom w:val="0"/>
          <w:divBdr>
            <w:top w:val="none" w:sz="0" w:space="0" w:color="auto"/>
            <w:left w:val="none" w:sz="0" w:space="0" w:color="auto"/>
            <w:bottom w:val="none" w:sz="0" w:space="0" w:color="auto"/>
            <w:right w:val="none" w:sz="0" w:space="0" w:color="auto"/>
          </w:divBdr>
        </w:div>
        <w:div w:id="1284658030">
          <w:marLeft w:val="0"/>
          <w:marRight w:val="0"/>
          <w:marTop w:val="0"/>
          <w:marBottom w:val="0"/>
          <w:divBdr>
            <w:top w:val="none" w:sz="0" w:space="0" w:color="auto"/>
            <w:left w:val="none" w:sz="0" w:space="0" w:color="auto"/>
            <w:bottom w:val="none" w:sz="0" w:space="0" w:color="auto"/>
            <w:right w:val="none" w:sz="0" w:space="0" w:color="auto"/>
          </w:divBdr>
        </w:div>
        <w:div w:id="963271631">
          <w:marLeft w:val="0"/>
          <w:marRight w:val="0"/>
          <w:marTop w:val="0"/>
          <w:marBottom w:val="0"/>
          <w:divBdr>
            <w:top w:val="none" w:sz="0" w:space="0" w:color="auto"/>
            <w:left w:val="none" w:sz="0" w:space="0" w:color="auto"/>
            <w:bottom w:val="none" w:sz="0" w:space="0" w:color="auto"/>
            <w:right w:val="none" w:sz="0" w:space="0" w:color="auto"/>
          </w:divBdr>
        </w:div>
        <w:div w:id="812482384">
          <w:marLeft w:val="0"/>
          <w:marRight w:val="0"/>
          <w:marTop w:val="0"/>
          <w:marBottom w:val="0"/>
          <w:divBdr>
            <w:top w:val="none" w:sz="0" w:space="0" w:color="auto"/>
            <w:left w:val="none" w:sz="0" w:space="0" w:color="auto"/>
            <w:bottom w:val="none" w:sz="0" w:space="0" w:color="auto"/>
            <w:right w:val="none" w:sz="0" w:space="0" w:color="auto"/>
          </w:divBdr>
        </w:div>
      </w:divsChild>
    </w:div>
    <w:div w:id="1067387471">
      <w:bodyDiv w:val="1"/>
      <w:marLeft w:val="0"/>
      <w:marRight w:val="0"/>
      <w:marTop w:val="0"/>
      <w:marBottom w:val="0"/>
      <w:divBdr>
        <w:top w:val="none" w:sz="0" w:space="0" w:color="auto"/>
        <w:left w:val="none" w:sz="0" w:space="0" w:color="auto"/>
        <w:bottom w:val="none" w:sz="0" w:space="0" w:color="auto"/>
        <w:right w:val="none" w:sz="0" w:space="0" w:color="auto"/>
      </w:divBdr>
      <w:divsChild>
        <w:div w:id="1328048337">
          <w:marLeft w:val="0"/>
          <w:marRight w:val="0"/>
          <w:marTop w:val="0"/>
          <w:marBottom w:val="0"/>
          <w:divBdr>
            <w:top w:val="none" w:sz="0" w:space="0" w:color="auto"/>
            <w:left w:val="none" w:sz="0" w:space="0" w:color="auto"/>
            <w:bottom w:val="none" w:sz="0" w:space="0" w:color="auto"/>
            <w:right w:val="none" w:sz="0" w:space="0" w:color="auto"/>
          </w:divBdr>
        </w:div>
        <w:div w:id="1158350743">
          <w:marLeft w:val="0"/>
          <w:marRight w:val="0"/>
          <w:marTop w:val="0"/>
          <w:marBottom w:val="0"/>
          <w:divBdr>
            <w:top w:val="none" w:sz="0" w:space="0" w:color="auto"/>
            <w:left w:val="none" w:sz="0" w:space="0" w:color="auto"/>
            <w:bottom w:val="none" w:sz="0" w:space="0" w:color="auto"/>
            <w:right w:val="none" w:sz="0" w:space="0" w:color="auto"/>
          </w:divBdr>
        </w:div>
      </w:divsChild>
    </w:div>
    <w:div w:id="1167208669">
      <w:bodyDiv w:val="1"/>
      <w:marLeft w:val="0"/>
      <w:marRight w:val="0"/>
      <w:marTop w:val="0"/>
      <w:marBottom w:val="0"/>
      <w:divBdr>
        <w:top w:val="none" w:sz="0" w:space="0" w:color="auto"/>
        <w:left w:val="none" w:sz="0" w:space="0" w:color="auto"/>
        <w:bottom w:val="none" w:sz="0" w:space="0" w:color="auto"/>
        <w:right w:val="none" w:sz="0" w:space="0" w:color="auto"/>
      </w:divBdr>
    </w:div>
    <w:div w:id="1237284501">
      <w:bodyDiv w:val="1"/>
      <w:marLeft w:val="0"/>
      <w:marRight w:val="0"/>
      <w:marTop w:val="0"/>
      <w:marBottom w:val="0"/>
      <w:divBdr>
        <w:top w:val="none" w:sz="0" w:space="0" w:color="auto"/>
        <w:left w:val="none" w:sz="0" w:space="0" w:color="auto"/>
        <w:bottom w:val="none" w:sz="0" w:space="0" w:color="auto"/>
        <w:right w:val="none" w:sz="0" w:space="0" w:color="auto"/>
      </w:divBdr>
    </w:div>
    <w:div w:id="1327441014">
      <w:bodyDiv w:val="1"/>
      <w:marLeft w:val="0"/>
      <w:marRight w:val="0"/>
      <w:marTop w:val="0"/>
      <w:marBottom w:val="0"/>
      <w:divBdr>
        <w:top w:val="none" w:sz="0" w:space="0" w:color="auto"/>
        <w:left w:val="none" w:sz="0" w:space="0" w:color="auto"/>
        <w:bottom w:val="none" w:sz="0" w:space="0" w:color="auto"/>
        <w:right w:val="none" w:sz="0" w:space="0" w:color="auto"/>
      </w:divBdr>
    </w:div>
    <w:div w:id="1340741160">
      <w:bodyDiv w:val="1"/>
      <w:marLeft w:val="0"/>
      <w:marRight w:val="0"/>
      <w:marTop w:val="0"/>
      <w:marBottom w:val="0"/>
      <w:divBdr>
        <w:top w:val="none" w:sz="0" w:space="0" w:color="auto"/>
        <w:left w:val="none" w:sz="0" w:space="0" w:color="auto"/>
        <w:bottom w:val="none" w:sz="0" w:space="0" w:color="auto"/>
        <w:right w:val="none" w:sz="0" w:space="0" w:color="auto"/>
      </w:divBdr>
      <w:divsChild>
        <w:div w:id="1058044064">
          <w:marLeft w:val="0"/>
          <w:marRight w:val="0"/>
          <w:marTop w:val="0"/>
          <w:marBottom w:val="0"/>
          <w:divBdr>
            <w:top w:val="none" w:sz="0" w:space="0" w:color="auto"/>
            <w:left w:val="none" w:sz="0" w:space="0" w:color="auto"/>
            <w:bottom w:val="none" w:sz="0" w:space="0" w:color="auto"/>
            <w:right w:val="none" w:sz="0" w:space="0" w:color="auto"/>
          </w:divBdr>
        </w:div>
        <w:div w:id="174460635">
          <w:marLeft w:val="0"/>
          <w:marRight w:val="0"/>
          <w:marTop w:val="0"/>
          <w:marBottom w:val="0"/>
          <w:divBdr>
            <w:top w:val="none" w:sz="0" w:space="0" w:color="auto"/>
            <w:left w:val="none" w:sz="0" w:space="0" w:color="auto"/>
            <w:bottom w:val="none" w:sz="0" w:space="0" w:color="auto"/>
            <w:right w:val="none" w:sz="0" w:space="0" w:color="auto"/>
          </w:divBdr>
          <w:divsChild>
            <w:div w:id="458694258">
              <w:marLeft w:val="-75"/>
              <w:marRight w:val="0"/>
              <w:marTop w:val="30"/>
              <w:marBottom w:val="30"/>
              <w:divBdr>
                <w:top w:val="none" w:sz="0" w:space="0" w:color="auto"/>
                <w:left w:val="none" w:sz="0" w:space="0" w:color="auto"/>
                <w:bottom w:val="none" w:sz="0" w:space="0" w:color="auto"/>
                <w:right w:val="none" w:sz="0" w:space="0" w:color="auto"/>
              </w:divBdr>
              <w:divsChild>
                <w:div w:id="2026132690">
                  <w:marLeft w:val="0"/>
                  <w:marRight w:val="0"/>
                  <w:marTop w:val="0"/>
                  <w:marBottom w:val="0"/>
                  <w:divBdr>
                    <w:top w:val="none" w:sz="0" w:space="0" w:color="auto"/>
                    <w:left w:val="none" w:sz="0" w:space="0" w:color="auto"/>
                    <w:bottom w:val="none" w:sz="0" w:space="0" w:color="auto"/>
                    <w:right w:val="none" w:sz="0" w:space="0" w:color="auto"/>
                  </w:divBdr>
                  <w:divsChild>
                    <w:div w:id="1291323436">
                      <w:marLeft w:val="0"/>
                      <w:marRight w:val="0"/>
                      <w:marTop w:val="0"/>
                      <w:marBottom w:val="0"/>
                      <w:divBdr>
                        <w:top w:val="none" w:sz="0" w:space="0" w:color="auto"/>
                        <w:left w:val="none" w:sz="0" w:space="0" w:color="auto"/>
                        <w:bottom w:val="none" w:sz="0" w:space="0" w:color="auto"/>
                        <w:right w:val="none" w:sz="0" w:space="0" w:color="auto"/>
                      </w:divBdr>
                    </w:div>
                  </w:divsChild>
                </w:div>
                <w:div w:id="1489206826">
                  <w:marLeft w:val="0"/>
                  <w:marRight w:val="0"/>
                  <w:marTop w:val="0"/>
                  <w:marBottom w:val="0"/>
                  <w:divBdr>
                    <w:top w:val="none" w:sz="0" w:space="0" w:color="auto"/>
                    <w:left w:val="none" w:sz="0" w:space="0" w:color="auto"/>
                    <w:bottom w:val="none" w:sz="0" w:space="0" w:color="auto"/>
                    <w:right w:val="none" w:sz="0" w:space="0" w:color="auto"/>
                  </w:divBdr>
                  <w:divsChild>
                    <w:div w:id="648903617">
                      <w:marLeft w:val="0"/>
                      <w:marRight w:val="0"/>
                      <w:marTop w:val="0"/>
                      <w:marBottom w:val="0"/>
                      <w:divBdr>
                        <w:top w:val="none" w:sz="0" w:space="0" w:color="auto"/>
                        <w:left w:val="none" w:sz="0" w:space="0" w:color="auto"/>
                        <w:bottom w:val="none" w:sz="0" w:space="0" w:color="auto"/>
                        <w:right w:val="none" w:sz="0" w:space="0" w:color="auto"/>
                      </w:divBdr>
                    </w:div>
                  </w:divsChild>
                </w:div>
                <w:div w:id="1031493418">
                  <w:marLeft w:val="0"/>
                  <w:marRight w:val="0"/>
                  <w:marTop w:val="0"/>
                  <w:marBottom w:val="0"/>
                  <w:divBdr>
                    <w:top w:val="none" w:sz="0" w:space="0" w:color="auto"/>
                    <w:left w:val="none" w:sz="0" w:space="0" w:color="auto"/>
                    <w:bottom w:val="none" w:sz="0" w:space="0" w:color="auto"/>
                    <w:right w:val="none" w:sz="0" w:space="0" w:color="auto"/>
                  </w:divBdr>
                  <w:divsChild>
                    <w:div w:id="878979330">
                      <w:marLeft w:val="0"/>
                      <w:marRight w:val="0"/>
                      <w:marTop w:val="0"/>
                      <w:marBottom w:val="0"/>
                      <w:divBdr>
                        <w:top w:val="none" w:sz="0" w:space="0" w:color="auto"/>
                        <w:left w:val="none" w:sz="0" w:space="0" w:color="auto"/>
                        <w:bottom w:val="none" w:sz="0" w:space="0" w:color="auto"/>
                        <w:right w:val="none" w:sz="0" w:space="0" w:color="auto"/>
                      </w:divBdr>
                    </w:div>
                  </w:divsChild>
                </w:div>
                <w:div w:id="630132599">
                  <w:marLeft w:val="0"/>
                  <w:marRight w:val="0"/>
                  <w:marTop w:val="0"/>
                  <w:marBottom w:val="0"/>
                  <w:divBdr>
                    <w:top w:val="none" w:sz="0" w:space="0" w:color="auto"/>
                    <w:left w:val="none" w:sz="0" w:space="0" w:color="auto"/>
                    <w:bottom w:val="none" w:sz="0" w:space="0" w:color="auto"/>
                    <w:right w:val="none" w:sz="0" w:space="0" w:color="auto"/>
                  </w:divBdr>
                  <w:divsChild>
                    <w:div w:id="405806947">
                      <w:marLeft w:val="0"/>
                      <w:marRight w:val="0"/>
                      <w:marTop w:val="0"/>
                      <w:marBottom w:val="0"/>
                      <w:divBdr>
                        <w:top w:val="none" w:sz="0" w:space="0" w:color="auto"/>
                        <w:left w:val="none" w:sz="0" w:space="0" w:color="auto"/>
                        <w:bottom w:val="none" w:sz="0" w:space="0" w:color="auto"/>
                        <w:right w:val="none" w:sz="0" w:space="0" w:color="auto"/>
                      </w:divBdr>
                    </w:div>
                  </w:divsChild>
                </w:div>
                <w:div w:id="997732409">
                  <w:marLeft w:val="0"/>
                  <w:marRight w:val="0"/>
                  <w:marTop w:val="0"/>
                  <w:marBottom w:val="0"/>
                  <w:divBdr>
                    <w:top w:val="none" w:sz="0" w:space="0" w:color="auto"/>
                    <w:left w:val="none" w:sz="0" w:space="0" w:color="auto"/>
                    <w:bottom w:val="none" w:sz="0" w:space="0" w:color="auto"/>
                    <w:right w:val="none" w:sz="0" w:space="0" w:color="auto"/>
                  </w:divBdr>
                  <w:divsChild>
                    <w:div w:id="1460222041">
                      <w:marLeft w:val="0"/>
                      <w:marRight w:val="0"/>
                      <w:marTop w:val="0"/>
                      <w:marBottom w:val="0"/>
                      <w:divBdr>
                        <w:top w:val="none" w:sz="0" w:space="0" w:color="auto"/>
                        <w:left w:val="none" w:sz="0" w:space="0" w:color="auto"/>
                        <w:bottom w:val="none" w:sz="0" w:space="0" w:color="auto"/>
                        <w:right w:val="none" w:sz="0" w:space="0" w:color="auto"/>
                      </w:divBdr>
                    </w:div>
                  </w:divsChild>
                </w:div>
                <w:div w:id="1586567482">
                  <w:marLeft w:val="0"/>
                  <w:marRight w:val="0"/>
                  <w:marTop w:val="0"/>
                  <w:marBottom w:val="0"/>
                  <w:divBdr>
                    <w:top w:val="none" w:sz="0" w:space="0" w:color="auto"/>
                    <w:left w:val="none" w:sz="0" w:space="0" w:color="auto"/>
                    <w:bottom w:val="none" w:sz="0" w:space="0" w:color="auto"/>
                    <w:right w:val="none" w:sz="0" w:space="0" w:color="auto"/>
                  </w:divBdr>
                  <w:divsChild>
                    <w:div w:id="569385245">
                      <w:marLeft w:val="0"/>
                      <w:marRight w:val="0"/>
                      <w:marTop w:val="0"/>
                      <w:marBottom w:val="0"/>
                      <w:divBdr>
                        <w:top w:val="none" w:sz="0" w:space="0" w:color="auto"/>
                        <w:left w:val="none" w:sz="0" w:space="0" w:color="auto"/>
                        <w:bottom w:val="none" w:sz="0" w:space="0" w:color="auto"/>
                        <w:right w:val="none" w:sz="0" w:space="0" w:color="auto"/>
                      </w:divBdr>
                    </w:div>
                  </w:divsChild>
                </w:div>
                <w:div w:id="1479690485">
                  <w:marLeft w:val="0"/>
                  <w:marRight w:val="0"/>
                  <w:marTop w:val="0"/>
                  <w:marBottom w:val="0"/>
                  <w:divBdr>
                    <w:top w:val="none" w:sz="0" w:space="0" w:color="auto"/>
                    <w:left w:val="none" w:sz="0" w:space="0" w:color="auto"/>
                    <w:bottom w:val="none" w:sz="0" w:space="0" w:color="auto"/>
                    <w:right w:val="none" w:sz="0" w:space="0" w:color="auto"/>
                  </w:divBdr>
                  <w:divsChild>
                    <w:div w:id="1260677803">
                      <w:marLeft w:val="0"/>
                      <w:marRight w:val="0"/>
                      <w:marTop w:val="0"/>
                      <w:marBottom w:val="0"/>
                      <w:divBdr>
                        <w:top w:val="none" w:sz="0" w:space="0" w:color="auto"/>
                        <w:left w:val="none" w:sz="0" w:space="0" w:color="auto"/>
                        <w:bottom w:val="none" w:sz="0" w:space="0" w:color="auto"/>
                        <w:right w:val="none" w:sz="0" w:space="0" w:color="auto"/>
                      </w:divBdr>
                    </w:div>
                  </w:divsChild>
                </w:div>
                <w:div w:id="225266710">
                  <w:marLeft w:val="0"/>
                  <w:marRight w:val="0"/>
                  <w:marTop w:val="0"/>
                  <w:marBottom w:val="0"/>
                  <w:divBdr>
                    <w:top w:val="none" w:sz="0" w:space="0" w:color="auto"/>
                    <w:left w:val="none" w:sz="0" w:space="0" w:color="auto"/>
                    <w:bottom w:val="none" w:sz="0" w:space="0" w:color="auto"/>
                    <w:right w:val="none" w:sz="0" w:space="0" w:color="auto"/>
                  </w:divBdr>
                  <w:divsChild>
                    <w:div w:id="89669276">
                      <w:marLeft w:val="0"/>
                      <w:marRight w:val="0"/>
                      <w:marTop w:val="0"/>
                      <w:marBottom w:val="0"/>
                      <w:divBdr>
                        <w:top w:val="none" w:sz="0" w:space="0" w:color="auto"/>
                        <w:left w:val="none" w:sz="0" w:space="0" w:color="auto"/>
                        <w:bottom w:val="none" w:sz="0" w:space="0" w:color="auto"/>
                        <w:right w:val="none" w:sz="0" w:space="0" w:color="auto"/>
                      </w:divBdr>
                    </w:div>
                  </w:divsChild>
                </w:div>
                <w:div w:id="773289801">
                  <w:marLeft w:val="0"/>
                  <w:marRight w:val="0"/>
                  <w:marTop w:val="0"/>
                  <w:marBottom w:val="0"/>
                  <w:divBdr>
                    <w:top w:val="none" w:sz="0" w:space="0" w:color="auto"/>
                    <w:left w:val="none" w:sz="0" w:space="0" w:color="auto"/>
                    <w:bottom w:val="none" w:sz="0" w:space="0" w:color="auto"/>
                    <w:right w:val="none" w:sz="0" w:space="0" w:color="auto"/>
                  </w:divBdr>
                  <w:divsChild>
                    <w:div w:id="119612343">
                      <w:marLeft w:val="0"/>
                      <w:marRight w:val="0"/>
                      <w:marTop w:val="0"/>
                      <w:marBottom w:val="0"/>
                      <w:divBdr>
                        <w:top w:val="none" w:sz="0" w:space="0" w:color="auto"/>
                        <w:left w:val="none" w:sz="0" w:space="0" w:color="auto"/>
                        <w:bottom w:val="none" w:sz="0" w:space="0" w:color="auto"/>
                        <w:right w:val="none" w:sz="0" w:space="0" w:color="auto"/>
                      </w:divBdr>
                    </w:div>
                  </w:divsChild>
                </w:div>
                <w:div w:id="14775644">
                  <w:marLeft w:val="0"/>
                  <w:marRight w:val="0"/>
                  <w:marTop w:val="0"/>
                  <w:marBottom w:val="0"/>
                  <w:divBdr>
                    <w:top w:val="none" w:sz="0" w:space="0" w:color="auto"/>
                    <w:left w:val="none" w:sz="0" w:space="0" w:color="auto"/>
                    <w:bottom w:val="none" w:sz="0" w:space="0" w:color="auto"/>
                    <w:right w:val="none" w:sz="0" w:space="0" w:color="auto"/>
                  </w:divBdr>
                  <w:divsChild>
                    <w:div w:id="158167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660546">
          <w:marLeft w:val="0"/>
          <w:marRight w:val="0"/>
          <w:marTop w:val="0"/>
          <w:marBottom w:val="0"/>
          <w:divBdr>
            <w:top w:val="none" w:sz="0" w:space="0" w:color="auto"/>
            <w:left w:val="none" w:sz="0" w:space="0" w:color="auto"/>
            <w:bottom w:val="none" w:sz="0" w:space="0" w:color="auto"/>
            <w:right w:val="none" w:sz="0" w:space="0" w:color="auto"/>
          </w:divBdr>
        </w:div>
        <w:div w:id="603459504">
          <w:marLeft w:val="0"/>
          <w:marRight w:val="0"/>
          <w:marTop w:val="0"/>
          <w:marBottom w:val="0"/>
          <w:divBdr>
            <w:top w:val="none" w:sz="0" w:space="0" w:color="auto"/>
            <w:left w:val="none" w:sz="0" w:space="0" w:color="auto"/>
            <w:bottom w:val="none" w:sz="0" w:space="0" w:color="auto"/>
            <w:right w:val="none" w:sz="0" w:space="0" w:color="auto"/>
          </w:divBdr>
        </w:div>
      </w:divsChild>
    </w:div>
    <w:div w:id="1452936699">
      <w:bodyDiv w:val="1"/>
      <w:marLeft w:val="0"/>
      <w:marRight w:val="0"/>
      <w:marTop w:val="0"/>
      <w:marBottom w:val="0"/>
      <w:divBdr>
        <w:top w:val="none" w:sz="0" w:space="0" w:color="auto"/>
        <w:left w:val="none" w:sz="0" w:space="0" w:color="auto"/>
        <w:bottom w:val="none" w:sz="0" w:space="0" w:color="auto"/>
        <w:right w:val="none" w:sz="0" w:space="0" w:color="auto"/>
      </w:divBdr>
      <w:divsChild>
        <w:div w:id="2080203249">
          <w:marLeft w:val="0"/>
          <w:marRight w:val="0"/>
          <w:marTop w:val="0"/>
          <w:marBottom w:val="0"/>
          <w:divBdr>
            <w:top w:val="none" w:sz="0" w:space="0" w:color="auto"/>
            <w:left w:val="none" w:sz="0" w:space="0" w:color="auto"/>
            <w:bottom w:val="none" w:sz="0" w:space="0" w:color="auto"/>
            <w:right w:val="none" w:sz="0" w:space="0" w:color="auto"/>
          </w:divBdr>
        </w:div>
        <w:div w:id="1910769216">
          <w:marLeft w:val="0"/>
          <w:marRight w:val="0"/>
          <w:marTop w:val="0"/>
          <w:marBottom w:val="0"/>
          <w:divBdr>
            <w:top w:val="none" w:sz="0" w:space="0" w:color="auto"/>
            <w:left w:val="none" w:sz="0" w:space="0" w:color="auto"/>
            <w:bottom w:val="none" w:sz="0" w:space="0" w:color="auto"/>
            <w:right w:val="none" w:sz="0" w:space="0" w:color="auto"/>
          </w:divBdr>
        </w:div>
      </w:divsChild>
    </w:div>
    <w:div w:id="1790778196">
      <w:bodyDiv w:val="1"/>
      <w:marLeft w:val="0"/>
      <w:marRight w:val="0"/>
      <w:marTop w:val="0"/>
      <w:marBottom w:val="0"/>
      <w:divBdr>
        <w:top w:val="none" w:sz="0" w:space="0" w:color="auto"/>
        <w:left w:val="none" w:sz="0" w:space="0" w:color="auto"/>
        <w:bottom w:val="none" w:sz="0" w:space="0" w:color="auto"/>
        <w:right w:val="none" w:sz="0" w:space="0" w:color="auto"/>
      </w:divBdr>
    </w:div>
    <w:div w:id="2100250918">
      <w:bodyDiv w:val="1"/>
      <w:marLeft w:val="0"/>
      <w:marRight w:val="0"/>
      <w:marTop w:val="0"/>
      <w:marBottom w:val="0"/>
      <w:divBdr>
        <w:top w:val="none" w:sz="0" w:space="0" w:color="auto"/>
        <w:left w:val="none" w:sz="0" w:space="0" w:color="auto"/>
        <w:bottom w:val="none" w:sz="0" w:space="0" w:color="auto"/>
        <w:right w:val="none" w:sz="0" w:space="0" w:color="auto"/>
      </w:divBdr>
      <w:divsChild>
        <w:div w:id="541401522">
          <w:marLeft w:val="0"/>
          <w:marRight w:val="0"/>
          <w:marTop w:val="0"/>
          <w:marBottom w:val="0"/>
          <w:divBdr>
            <w:top w:val="none" w:sz="0" w:space="0" w:color="auto"/>
            <w:left w:val="none" w:sz="0" w:space="0" w:color="auto"/>
            <w:bottom w:val="none" w:sz="0" w:space="0" w:color="auto"/>
            <w:right w:val="none" w:sz="0" w:space="0" w:color="auto"/>
          </w:divBdr>
        </w:div>
        <w:div w:id="278219042">
          <w:marLeft w:val="0"/>
          <w:marRight w:val="0"/>
          <w:marTop w:val="0"/>
          <w:marBottom w:val="0"/>
          <w:divBdr>
            <w:top w:val="none" w:sz="0" w:space="0" w:color="auto"/>
            <w:left w:val="none" w:sz="0" w:space="0" w:color="auto"/>
            <w:bottom w:val="none" w:sz="0" w:space="0" w:color="auto"/>
            <w:right w:val="none" w:sz="0" w:space="0" w:color="auto"/>
          </w:divBdr>
        </w:div>
        <w:div w:id="134299931">
          <w:marLeft w:val="0"/>
          <w:marRight w:val="0"/>
          <w:marTop w:val="0"/>
          <w:marBottom w:val="0"/>
          <w:divBdr>
            <w:top w:val="none" w:sz="0" w:space="0" w:color="auto"/>
            <w:left w:val="none" w:sz="0" w:space="0" w:color="auto"/>
            <w:bottom w:val="none" w:sz="0" w:space="0" w:color="auto"/>
            <w:right w:val="none" w:sz="0" w:space="0" w:color="auto"/>
          </w:divBdr>
        </w:div>
        <w:div w:id="769473554">
          <w:marLeft w:val="0"/>
          <w:marRight w:val="0"/>
          <w:marTop w:val="0"/>
          <w:marBottom w:val="0"/>
          <w:divBdr>
            <w:top w:val="none" w:sz="0" w:space="0" w:color="auto"/>
            <w:left w:val="none" w:sz="0" w:space="0" w:color="auto"/>
            <w:bottom w:val="none" w:sz="0" w:space="0" w:color="auto"/>
            <w:right w:val="none" w:sz="0" w:space="0" w:color="auto"/>
          </w:divBdr>
        </w:div>
        <w:div w:id="534346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4688-DAA6-45B1-BB24-9A71990C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1171</Words>
  <Characters>6446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Aminta, Vasquez Rojas</dc:creator>
  <cp:keywords/>
  <dc:description/>
  <cp:lastModifiedBy>Adriana Aminta, Vasquez Rojas</cp:lastModifiedBy>
  <cp:revision>1</cp:revision>
  <dcterms:created xsi:type="dcterms:W3CDTF">2024-12-26T14:44:00Z</dcterms:created>
  <dcterms:modified xsi:type="dcterms:W3CDTF">2024-12-26T16:15:00Z</dcterms:modified>
</cp:coreProperties>
</file>